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CDA81" w14:textId="4D95E9BC" w:rsidR="00055850" w:rsidRDefault="006F7CD7" w:rsidP="00321172">
      <w:pPr>
        <w:tabs>
          <w:tab w:val="left" w:pos="9356"/>
        </w:tabs>
        <w:overflowPunct w:val="0"/>
        <w:autoSpaceDE w:val="0"/>
        <w:autoSpaceDN w:val="0"/>
        <w:adjustRightInd w:val="0"/>
        <w:spacing w:after="0" w:line="240" w:lineRule="auto"/>
        <w:ind w:right="-710"/>
        <w:textAlignment w:val="baseline"/>
        <w:rPr>
          <w:rFonts w:eastAsia="Times New Roman" w:cs="Times New Roman"/>
          <w:lang w:eastAsia="cs-CZ"/>
        </w:rPr>
      </w:pPr>
      <w:r w:rsidRPr="0017079A">
        <w:rPr>
          <w:rFonts w:eastAsia="Times New Roman" w:cs="Times New Roman"/>
          <w:lang w:eastAsia="cs-CZ"/>
        </w:rPr>
        <w:t xml:space="preserve">Příloha č. </w:t>
      </w:r>
      <w:r w:rsidR="0017079A" w:rsidRPr="0017079A">
        <w:rPr>
          <w:rFonts w:eastAsia="Times New Roman" w:cs="Times New Roman"/>
          <w:lang w:eastAsia="cs-CZ"/>
        </w:rPr>
        <w:t>5</w:t>
      </w:r>
      <w:r w:rsidR="00DB295F" w:rsidRPr="0017079A">
        <w:rPr>
          <w:rFonts w:eastAsia="Times New Roman" w:cs="Times New Roman"/>
          <w:lang w:eastAsia="cs-CZ"/>
        </w:rPr>
        <w:t xml:space="preserve"> Výzvy k podání nabídky</w:t>
      </w:r>
    </w:p>
    <w:p w14:paraId="1BD8C516" w14:textId="508DF0B6" w:rsidR="00055850" w:rsidRPr="00055850" w:rsidRDefault="00055850" w:rsidP="00055850">
      <w:pPr>
        <w:tabs>
          <w:tab w:val="left" w:pos="9356"/>
        </w:tabs>
        <w:overflowPunct w:val="0"/>
        <w:autoSpaceDE w:val="0"/>
        <w:autoSpaceDN w:val="0"/>
        <w:adjustRightInd w:val="0"/>
        <w:spacing w:after="0" w:line="240" w:lineRule="auto"/>
        <w:ind w:right="-710"/>
        <w:jc w:val="left"/>
        <w:textAlignment w:val="baseline"/>
        <w:rPr>
          <w:rFonts w:ascii="Calibri" w:eastAsia="Times New Roman" w:hAnsi="Calibri" w:cs="Times New Roman"/>
          <w:sz w:val="20"/>
          <w:szCs w:val="20"/>
          <w:lang w:eastAsia="cs-CZ"/>
        </w:rPr>
      </w:pPr>
      <w:r w:rsidRPr="00055850">
        <w:rPr>
          <w:b/>
          <w:sz w:val="20"/>
          <w:szCs w:val="20"/>
        </w:rPr>
        <w:t>„</w:t>
      </w:r>
      <w:bookmarkStart w:id="0" w:name="_Hlk161218505"/>
      <w:r w:rsidRPr="00055850">
        <w:rPr>
          <w:b/>
          <w:sz w:val="20"/>
          <w:szCs w:val="20"/>
        </w:rPr>
        <w:t xml:space="preserve">Zajištění technického servisu, podpory a profylaxe systému diagnostiky závad jedoucích železničních vozidel </w:t>
      </w:r>
      <w:bookmarkEnd w:id="0"/>
      <w:r w:rsidRPr="00055850">
        <w:rPr>
          <w:b/>
          <w:sz w:val="20"/>
          <w:szCs w:val="20"/>
        </w:rPr>
        <w:t>– část A“</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170A1BA5"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1247A4" w:rsidRPr="001247A4">
        <w:rPr>
          <w:highlight w:val="yellow"/>
        </w:rPr>
        <w:t xml:space="preserve"> </w:t>
      </w:r>
      <w:proofErr w:type="spellStart"/>
      <w:r w:rsidR="001247A4" w:rsidRPr="00CC1F6E">
        <w:rPr>
          <w:highlight w:val="yellow"/>
        </w:rPr>
        <w:t>č.j</w:t>
      </w:r>
      <w:proofErr w:type="spellEnd"/>
      <w:r w:rsidR="001247A4" w:rsidRPr="00CC1F6E">
        <w:rPr>
          <w:highlight w:val="yellow"/>
        </w:rPr>
        <w:t>:……….……</w:t>
      </w:r>
      <w:r w:rsidR="001247A4" w:rsidRPr="00055850">
        <w:t>č. spisu:</w:t>
      </w:r>
      <w:r w:rsidR="00055850" w:rsidRPr="00055850">
        <w:t xml:space="preserve"> S2950/2024-SŽ-CTD-ÚPT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689CB50D" w14:textId="77777777" w:rsidR="00C4177B" w:rsidRPr="00942330" w:rsidRDefault="00C4177B" w:rsidP="00C4177B">
      <w:pPr>
        <w:pStyle w:val="Identifikace"/>
      </w:pPr>
      <w:r w:rsidRPr="00942330">
        <w:t xml:space="preserve">Zastoupená: Ing. Martin Táborský, ředitel organizační složky Centrum techniky a diagnostiky, Malletova 2363/10, 190 00 Praha 9 - Libeň  </w:t>
      </w:r>
    </w:p>
    <w:p w14:paraId="5EDA968D" w14:textId="77777777" w:rsidR="00C4177B" w:rsidRPr="00942330" w:rsidRDefault="00C4177B" w:rsidP="00C4177B">
      <w:pPr>
        <w:widowControl w:val="0"/>
        <w:spacing w:after="0"/>
        <w:ind w:left="2126" w:hanging="2126"/>
        <w:rPr>
          <w:rFonts w:cstheme="minorHAnsi"/>
        </w:rPr>
      </w:pPr>
      <w:r w:rsidRPr="00942330">
        <w:rPr>
          <w:rFonts w:cstheme="minorHAnsi"/>
        </w:rPr>
        <w:t xml:space="preserve">Adresa pro doručování písemnosti v elektronické podobě: </w:t>
      </w:r>
      <w:hyperlink r:id="rId11" w:history="1">
        <w:r w:rsidRPr="00942330">
          <w:rPr>
            <w:rFonts w:cstheme="minorHAnsi"/>
            <w:color w:val="0563C1" w:themeColor="hyperlink"/>
            <w:u w:val="single"/>
          </w:rPr>
          <w:t>ePodatelnaCTD@spravazeleznic.cz</w:t>
        </w:r>
      </w:hyperlink>
      <w:r w:rsidRPr="00942330">
        <w:rPr>
          <w:rFonts w:cstheme="minorHAnsi"/>
        </w:rPr>
        <w:t xml:space="preserve">   </w:t>
      </w:r>
    </w:p>
    <w:p w14:paraId="3A44472F" w14:textId="02CE8F78" w:rsidR="004E1498" w:rsidRPr="004E1498" w:rsidRDefault="00C4177B" w:rsidP="00C4177B">
      <w:pPr>
        <w:pStyle w:val="Identifikace"/>
        <w:ind w:left="0"/>
      </w:pPr>
      <w:r w:rsidRPr="00942330">
        <w:rPr>
          <w:rFonts w:eastAsiaTheme="minorHAnsi" w:cstheme="minorHAnsi"/>
          <w:lang w:eastAsia="en-US"/>
        </w:rPr>
        <w:t xml:space="preserve">Adresa pro doručování faktur v elektronické podobě: </w:t>
      </w:r>
      <w:hyperlink r:id="rId12" w:history="1">
        <w:r w:rsidRPr="00942330">
          <w:rPr>
            <w:rFonts w:eastAsiaTheme="minorHAnsi" w:cstheme="minorHAnsi"/>
            <w:color w:val="0563C1" w:themeColor="hyperlink"/>
            <w:u w:val="single"/>
            <w:lang w:eastAsia="en-US"/>
          </w:rPr>
          <w:t>ePodatelnaCFU@spravazeleznic.cz</w:t>
        </w:r>
      </w:hyperlink>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r w:rsidR="00F664E5" w:rsidRPr="00321172">
        <w:rPr>
          <w:highlight w:val="green"/>
        </w:rPr>
        <w:t>….</w:t>
      </w:r>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2E02E1FA" w:rsidR="006062F9" w:rsidRPr="006062F9" w:rsidRDefault="004E1498" w:rsidP="00297F9D">
      <w:pPr>
        <w:pStyle w:val="Preambule"/>
      </w:pPr>
      <w:r w:rsidRPr="004E1498">
        <w:t xml:space="preserve">Tato </w:t>
      </w:r>
      <w:r w:rsidR="00854789">
        <w:t>Smlou</w:t>
      </w:r>
      <w:r w:rsidRPr="004E1498">
        <w:t xml:space="preserve">va je uzavřena </w:t>
      </w:r>
      <w:r w:rsidRPr="00AE3460">
        <w:t xml:space="preserve">na základě výsledků </w:t>
      </w:r>
      <w:r w:rsidR="00AE74AE" w:rsidRPr="00AE3460">
        <w:t>výběrového</w:t>
      </w:r>
      <w:r w:rsidRPr="00AE3460">
        <w:t xml:space="preserve"> řízení veřejné zakázky s názvem </w:t>
      </w:r>
      <w:r w:rsidR="006062F9" w:rsidRPr="00AE3460">
        <w:t>„</w:t>
      </w:r>
      <w:bookmarkStart w:id="1" w:name="_Hlk161217898"/>
      <w:r w:rsidR="00EB240F" w:rsidRPr="00AE3460">
        <w:rPr>
          <w:b/>
        </w:rPr>
        <w:t>Zajištění technického servisu, podpory a profylaxe systému diagnostiky závad jedoucích železničních vozidel</w:t>
      </w:r>
      <w:bookmarkEnd w:id="1"/>
      <w:r w:rsidR="006062F9" w:rsidRPr="00AE3460">
        <w:t xml:space="preserve">“, č. j. veřejné zakázky: </w:t>
      </w:r>
      <w:r w:rsidR="00AE3460" w:rsidRPr="00AE3460">
        <w:rPr>
          <w:b/>
          <w:bCs/>
        </w:rPr>
        <w:t>79124008</w:t>
      </w:r>
      <w:r w:rsidR="006062F9" w:rsidRPr="00AE3460">
        <w:t xml:space="preserve"> (dále jen „</w:t>
      </w:r>
      <w:r w:rsidR="00E64568" w:rsidRPr="00AE3460">
        <w:rPr>
          <w:rStyle w:val="Kurzvatun"/>
          <w:rFonts w:eastAsiaTheme="minorHAnsi"/>
        </w:rPr>
        <w:t xml:space="preserve">Veřejná </w:t>
      </w:r>
      <w:r w:rsidR="006062F9" w:rsidRPr="00AE3460">
        <w:rPr>
          <w:rStyle w:val="Kurzvatun"/>
          <w:rFonts w:eastAsiaTheme="minorHAnsi"/>
        </w:rPr>
        <w:t>zakázka</w:t>
      </w:r>
      <w:r w:rsidR="006062F9" w:rsidRPr="00AE3460">
        <w:t xml:space="preserve">“). Jednotlivá ustanovení této </w:t>
      </w:r>
      <w:r w:rsidR="00854789" w:rsidRPr="00AE3460">
        <w:t>Smlou</w:t>
      </w:r>
      <w:r w:rsidR="006062F9" w:rsidRPr="00AE3460">
        <w:t xml:space="preserve">vy tak budou vykládána v souladu se zadávacími podmínkami </w:t>
      </w:r>
      <w:r w:rsidR="00A07644" w:rsidRPr="00AE3460">
        <w:t xml:space="preserve">Veřejné </w:t>
      </w:r>
      <w:r w:rsidR="006062F9" w:rsidRPr="00AE3460">
        <w:t>zakázky.</w:t>
      </w:r>
      <w:r w:rsidR="006062F9" w:rsidRPr="006062F9">
        <w:t xml:space="preserve">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lastRenderedPageBreak/>
        <w:t>Předmět služeb</w:t>
      </w:r>
    </w:p>
    <w:p w14:paraId="719B39B4" w14:textId="77777777" w:rsidR="00AE3460" w:rsidRPr="00AE3460" w:rsidRDefault="00AE3460" w:rsidP="00AE3460">
      <w:pPr>
        <w:pStyle w:val="Nadpis2"/>
      </w:pPr>
      <w:r w:rsidRPr="00AE3460">
        <w:t>Předmětem služeb je zajištění technické podpory diagnostiky závad jedoucích železničních vozidel typu ASDEK (dále jen zařízení Diagnostiky) včetně nadstavbového modulu ROSA-TDS a provádění profylaktických prohlídek na zařízení Diagnostiky.</w:t>
      </w:r>
    </w:p>
    <w:p w14:paraId="0435F95D" w14:textId="77777777" w:rsidR="00AE3460" w:rsidRPr="00AE3460" w:rsidRDefault="00AE3460" w:rsidP="00AE3460">
      <w:pPr>
        <w:pStyle w:val="Nadpis2"/>
      </w:pPr>
      <w:r w:rsidRPr="00AE3460">
        <w:t>Poskytovatel se zavazuje k zajišťování:</w:t>
      </w:r>
    </w:p>
    <w:p w14:paraId="25AC2227" w14:textId="60AEA33D" w:rsidR="00AE3460" w:rsidRPr="0090717A" w:rsidRDefault="00AE3460" w:rsidP="00AE3460">
      <w:pPr>
        <w:pStyle w:val="Nadpis2"/>
        <w:numPr>
          <w:ilvl w:val="0"/>
          <w:numId w:val="0"/>
        </w:numPr>
        <w:ind w:left="680"/>
      </w:pPr>
      <w:r>
        <w:t>-</w:t>
      </w:r>
      <w:r w:rsidRPr="00AE3460">
        <w:t xml:space="preserve">technické podpory zařízení Diagnostiky a provedení konkrétních profylaktických </w:t>
      </w:r>
      <w:r w:rsidRPr="0090717A">
        <w:t xml:space="preserve">prohlídek uvedených v Příloze č. </w:t>
      </w:r>
      <w:r w:rsidR="008D5BFE" w:rsidRPr="0090717A">
        <w:t>2</w:t>
      </w:r>
      <w:r w:rsidRPr="0090717A">
        <w:t>, která tvoří nedílnou součást této smlouvy,</w:t>
      </w:r>
    </w:p>
    <w:p w14:paraId="57A702F1" w14:textId="4BE79882" w:rsidR="00AE3460" w:rsidRPr="0090717A" w:rsidRDefault="00AE3460" w:rsidP="00AE3460">
      <w:pPr>
        <w:pStyle w:val="Nadpis2"/>
        <w:numPr>
          <w:ilvl w:val="0"/>
          <w:numId w:val="0"/>
        </w:numPr>
        <w:ind w:left="680"/>
      </w:pPr>
      <w:r w:rsidRPr="0090717A">
        <w:t>-technické podpory provozu nadstavbového modulu ROSA-TDS, který je součástí „Řídicího systému diagnostiky vozidel“.</w:t>
      </w:r>
    </w:p>
    <w:p w14:paraId="3D28AA0C" w14:textId="77777777" w:rsidR="00AE3460" w:rsidRPr="0090717A" w:rsidRDefault="00AE3460" w:rsidP="00AE3460">
      <w:pPr>
        <w:pStyle w:val="Nadpis2"/>
      </w:pPr>
      <w:r w:rsidRPr="0090717A">
        <w:t>Technická podpora zahrnuje:</w:t>
      </w:r>
    </w:p>
    <w:p w14:paraId="5C1067AC" w14:textId="0F57FBA0" w:rsidR="00AE3460" w:rsidRPr="0090717A" w:rsidRDefault="008D5BFE" w:rsidP="008D5BFE">
      <w:pPr>
        <w:pStyle w:val="Nadpis2"/>
        <w:numPr>
          <w:ilvl w:val="0"/>
          <w:numId w:val="0"/>
        </w:numPr>
        <w:ind w:left="680"/>
      </w:pPr>
      <w:r w:rsidRPr="0090717A">
        <w:t>-</w:t>
      </w:r>
      <w:r w:rsidR="00AE3460" w:rsidRPr="0090717A">
        <w:t xml:space="preserve">vzdálenou kontrolu funkčnosti zařízení Diagnostiky a nadstavbového modulu ROSA-TDS, </w:t>
      </w:r>
    </w:p>
    <w:p w14:paraId="7C661F1A" w14:textId="3D5CF07F" w:rsidR="00AE3460" w:rsidRPr="0090717A" w:rsidRDefault="008D5BFE" w:rsidP="008D5BFE">
      <w:pPr>
        <w:pStyle w:val="Nadpis2"/>
        <w:numPr>
          <w:ilvl w:val="0"/>
          <w:numId w:val="0"/>
        </w:numPr>
        <w:ind w:left="680"/>
      </w:pPr>
      <w:r w:rsidRPr="0090717A">
        <w:t>-</w:t>
      </w:r>
      <w:r w:rsidR="00AE3460" w:rsidRPr="0090717A">
        <w:t>servisní zásah provedený zástupcem Poskytovatele – odstranění poruchy na zařízení Diagnostiky a nadstavbovém modulu ROSA-TDS ve stanovené lhůtě,</w:t>
      </w:r>
    </w:p>
    <w:p w14:paraId="74C41EAE" w14:textId="3182FF48" w:rsidR="00AE3460" w:rsidRPr="0090717A" w:rsidRDefault="008D5BFE" w:rsidP="008D5BFE">
      <w:pPr>
        <w:pStyle w:val="Nadpis2"/>
        <w:numPr>
          <w:ilvl w:val="0"/>
          <w:numId w:val="0"/>
        </w:numPr>
        <w:ind w:left="680"/>
      </w:pPr>
      <w:r w:rsidRPr="0090717A">
        <w:t>-</w:t>
      </w:r>
      <w:r w:rsidR="00AE3460" w:rsidRPr="0090717A">
        <w:t xml:space="preserve">podporu HW vybavení (skladování náhradních dílů)  </w:t>
      </w:r>
    </w:p>
    <w:p w14:paraId="1D25C192" w14:textId="2C0D54B6" w:rsidR="00AE3460" w:rsidRPr="0090717A" w:rsidRDefault="008D5BFE" w:rsidP="008D5BFE">
      <w:pPr>
        <w:pStyle w:val="Nadpis2"/>
        <w:numPr>
          <w:ilvl w:val="0"/>
          <w:numId w:val="0"/>
        </w:numPr>
        <w:ind w:left="680"/>
      </w:pPr>
      <w:r w:rsidRPr="0090717A">
        <w:t>-</w:t>
      </w:r>
      <w:r w:rsidR="00AE3460" w:rsidRPr="0090717A">
        <w:t>podporu provozu nadstavbového modulu ROSA-TDS</w:t>
      </w:r>
    </w:p>
    <w:p w14:paraId="4C7FBF87" w14:textId="77777777" w:rsidR="00AE3460" w:rsidRPr="0090717A" w:rsidRDefault="00AE3460" w:rsidP="00AE3460">
      <w:pPr>
        <w:pStyle w:val="Nadpis2"/>
      </w:pPr>
      <w:r w:rsidRPr="0090717A">
        <w:t>Profylaktická prohlídka zahrnuje:</w:t>
      </w:r>
    </w:p>
    <w:p w14:paraId="5BE36E71" w14:textId="13B02147" w:rsidR="00AE3460" w:rsidRPr="00AE3460" w:rsidRDefault="008D5BFE" w:rsidP="008D5BFE">
      <w:pPr>
        <w:pStyle w:val="Nadpis2"/>
        <w:numPr>
          <w:ilvl w:val="0"/>
          <w:numId w:val="0"/>
        </w:numPr>
        <w:ind w:left="680"/>
      </w:pPr>
      <w:r w:rsidRPr="0090717A">
        <w:t>-</w:t>
      </w:r>
      <w:r w:rsidR="00AE3460" w:rsidRPr="0090717A">
        <w:t xml:space="preserve">pravidelný půlroční servis a prohlídku zařízení Diagnostiky dle Přílohy č. </w:t>
      </w:r>
      <w:r w:rsidR="00D4168A" w:rsidRPr="0090717A">
        <w:t>2</w:t>
      </w:r>
      <w:r w:rsidR="00AE3460" w:rsidRPr="0090717A">
        <w:t xml:space="preserve"> včetně upgrade aplikace ASDEK-</w:t>
      </w:r>
      <w:proofErr w:type="spellStart"/>
      <w:r w:rsidR="00AE3460" w:rsidRPr="0090717A">
        <w:t>Dziobak</w:t>
      </w:r>
      <w:proofErr w:type="spellEnd"/>
      <w:r w:rsidR="00AE3460" w:rsidRPr="0090717A">
        <w:t>, je-li vydána výrobcem nová verze.</w:t>
      </w:r>
      <w:r w:rsidR="00AE3460" w:rsidRPr="00AE3460">
        <w:t xml:space="preserve"> </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7285588F" w14:textId="77777777" w:rsidR="00D4168A" w:rsidRPr="00D4168A" w:rsidRDefault="00D4168A" w:rsidP="00D4168A">
      <w:pPr>
        <w:pStyle w:val="Nadpis2"/>
      </w:pPr>
      <w:r w:rsidRPr="00D4168A">
        <w:rPr>
          <w:rFonts w:cs="Calibri"/>
        </w:rPr>
        <w:t>D</w:t>
      </w:r>
      <w:r w:rsidRPr="00D4168A">
        <w:t>ílčí ceny pro stanovení celkové ceny předmětu služeb:</w:t>
      </w:r>
    </w:p>
    <w:p w14:paraId="00A35AC4" w14:textId="3DB5CE7B" w:rsidR="00D4168A" w:rsidRPr="00D4168A" w:rsidRDefault="00D4168A" w:rsidP="0055230B">
      <w:pPr>
        <w:pStyle w:val="Nadpis2"/>
        <w:numPr>
          <w:ilvl w:val="0"/>
          <w:numId w:val="9"/>
        </w:numPr>
      </w:pPr>
      <w:r w:rsidRPr="00D4168A">
        <w:t xml:space="preserve">ceny za zajištění pravidelných profylaktických prohlídek jsou stanoveny pro každé konkrétní zařízení Diagnostiky </w:t>
      </w:r>
      <w:r w:rsidRPr="00432EAF">
        <w:t>v Příloze č. 2, která</w:t>
      </w:r>
      <w:r w:rsidRPr="00D4168A">
        <w:t xml:space="preserve"> tvoří nedílnou součást této Smlouvy. </w:t>
      </w:r>
      <w:r w:rsidR="00055850" w:rsidRPr="00055850">
        <w:t xml:space="preserve">Celková cena za provedení profylaktických prohlídek souhrnně za rok 2024 je stanovena na </w:t>
      </w:r>
      <w:r w:rsidR="00055850" w:rsidRPr="00055850">
        <w:rPr>
          <w:highlight w:val="green"/>
        </w:rPr>
        <w:t>[DOPLNÍ POSKYTOVATEL]</w:t>
      </w:r>
      <w:r w:rsidR="00055850" w:rsidRPr="00055850">
        <w:t xml:space="preserve"> Kč bez DPH</w:t>
      </w:r>
      <w:r w:rsidR="00055850">
        <w:t xml:space="preserve">. </w:t>
      </w:r>
      <w:r w:rsidRPr="00D4168A">
        <w:t>Cena zahrnuje náklady související s přípravou, provedením prohlídky v místě, následném vyhodnocení (vystavení měřicího protokolu) a zajištění dopravy (kalkulace na základě ujetých km),</w:t>
      </w:r>
    </w:p>
    <w:p w14:paraId="15DDCB93" w14:textId="21E5E310" w:rsidR="00D4168A" w:rsidRPr="00055850" w:rsidRDefault="00D4168A" w:rsidP="00055850">
      <w:pPr>
        <w:pStyle w:val="Odstavecseseznamem"/>
        <w:numPr>
          <w:ilvl w:val="0"/>
          <w:numId w:val="9"/>
        </w:numPr>
        <w:rPr>
          <w:rFonts w:eastAsia="Times New Roman" w:cs="Times New Roman"/>
          <w:lang w:eastAsia="cs-CZ"/>
        </w:rPr>
      </w:pPr>
      <w:r w:rsidRPr="00D4168A">
        <w:t xml:space="preserve">ceny </w:t>
      </w:r>
      <w:r w:rsidRPr="00432EAF">
        <w:t xml:space="preserve">za zajišťování technické podpory zařízení Diagnostiky jsou stanoveny v Příloze č. </w:t>
      </w:r>
      <w:r w:rsidR="0090717A" w:rsidRPr="00432EAF">
        <w:t>3</w:t>
      </w:r>
      <w:r w:rsidRPr="00432EAF">
        <w:t>, tabulka č. 1,</w:t>
      </w:r>
      <w:r w:rsidRPr="00D4168A">
        <w:t xml:space="preserve"> která tvoří nedílnou součást této Smlouvy. </w:t>
      </w:r>
      <w:r w:rsidR="00055850" w:rsidRPr="00055850">
        <w:rPr>
          <w:rFonts w:eastAsia="Times New Roman" w:cs="Times New Roman"/>
          <w:lang w:eastAsia="cs-CZ"/>
        </w:rPr>
        <w:t xml:space="preserve">Celková cena za zajišťování technické podpory zařízení Diagnostiky souhrnně za rok 2024 je stanovena na </w:t>
      </w:r>
      <w:r w:rsidR="00055850" w:rsidRPr="00055850">
        <w:rPr>
          <w:rFonts w:eastAsia="Times New Roman" w:cs="Times New Roman"/>
          <w:highlight w:val="green"/>
          <w:lang w:eastAsia="cs-CZ"/>
        </w:rPr>
        <w:t>[DOPLNÍ POSKYTOVATEL]</w:t>
      </w:r>
      <w:r w:rsidR="00055850" w:rsidRPr="00055850">
        <w:rPr>
          <w:rFonts w:eastAsia="Times New Roman" w:cs="Times New Roman"/>
          <w:lang w:eastAsia="cs-CZ"/>
        </w:rPr>
        <w:t xml:space="preserve"> Kč bez DPH.</w:t>
      </w:r>
    </w:p>
    <w:p w14:paraId="78D78CFC" w14:textId="6326389C" w:rsidR="00D4168A" w:rsidRPr="00D4168A" w:rsidRDefault="00D4168A" w:rsidP="0055230B">
      <w:pPr>
        <w:pStyle w:val="Nadpis2"/>
        <w:numPr>
          <w:ilvl w:val="0"/>
          <w:numId w:val="9"/>
        </w:numPr>
      </w:pPr>
      <w:r w:rsidRPr="00D4168A">
        <w:t xml:space="preserve">ceny za zajišťování technické podpory nadstavbového modulu ROSA-TDS jsou </w:t>
      </w:r>
      <w:r w:rsidRPr="00432EAF">
        <w:t xml:space="preserve">stanoveny v Příloze č. </w:t>
      </w:r>
      <w:r w:rsidR="0090717A" w:rsidRPr="00432EAF">
        <w:t>3</w:t>
      </w:r>
      <w:r w:rsidRPr="00432EAF">
        <w:t>, tabulka č. 2, která</w:t>
      </w:r>
      <w:r w:rsidRPr="00D4168A">
        <w:t xml:space="preserve"> tvoří nedílnou součást této Smlouvy.</w:t>
      </w:r>
      <w:r w:rsidR="00055850">
        <w:t xml:space="preserve"> </w:t>
      </w:r>
      <w:r w:rsidR="00055850" w:rsidRPr="00055850">
        <w:t xml:space="preserve">Celková cena za zajišťování technické podpory nadstavbového modulu ROSA-TDS souhrnně za rok 2024 je stanovena na </w:t>
      </w:r>
      <w:r w:rsidR="00055850" w:rsidRPr="00055850">
        <w:rPr>
          <w:highlight w:val="green"/>
        </w:rPr>
        <w:t>[DOPLNÍ POSKYTOVATEL]</w:t>
      </w:r>
      <w:r w:rsidR="00055850" w:rsidRPr="00055850">
        <w:t xml:space="preserve"> Kč bez DPH. </w:t>
      </w:r>
      <w:r w:rsidRPr="00D4168A">
        <w:t xml:space="preserve"> </w:t>
      </w:r>
    </w:p>
    <w:p w14:paraId="23A2FF24" w14:textId="77777777" w:rsidR="006062F9" w:rsidRPr="006062F9" w:rsidRDefault="006062F9" w:rsidP="00297F9D">
      <w:pPr>
        <w:pStyle w:val="Nadpis1"/>
      </w:pPr>
      <w:r w:rsidRPr="006062F9">
        <w:t xml:space="preserve">Fakturace </w:t>
      </w:r>
    </w:p>
    <w:p w14:paraId="76A2F107" w14:textId="77777777" w:rsidR="00D4168A" w:rsidRPr="00D4168A" w:rsidRDefault="00D4168A" w:rsidP="00D4168A">
      <w:pPr>
        <w:pStyle w:val="Nadpis3"/>
      </w:pPr>
      <w:r w:rsidRPr="00D4168A">
        <w:t>Fakturace za pravidelné profylaktické prohlídky bude provedena na základě faktury vystavené Poskytovatelem, a to vždy na základě skutečně provedených prohlídek, po jejich dokončení a převzetí ze strany Objednatele, na základě úkolového listu, jehož výsledkem je akceptační protokol podepsaný oběma smluvními stranami.</w:t>
      </w:r>
    </w:p>
    <w:p w14:paraId="3CFBBD43" w14:textId="0AEFC17B" w:rsidR="00D4168A" w:rsidRPr="00D4168A" w:rsidRDefault="00D4168A" w:rsidP="00D4168A">
      <w:pPr>
        <w:pStyle w:val="Nadpis3"/>
      </w:pPr>
      <w:r w:rsidRPr="00131160">
        <w:t>Fakturace za uskutečněné plnění profylaktických prohlídek bude provedena vždy po skončení jarní prohlídky, nejpozději do 30. 6. 2024 a po skončení podzimní prohlídky, nejpozději do 31. 12. 2024.</w:t>
      </w:r>
      <w:r w:rsidRPr="00D4168A">
        <w:t xml:space="preserve"> Dnem zdanitelného plnění je termín uvedený na příslušné faktuře.</w:t>
      </w:r>
    </w:p>
    <w:p w14:paraId="3B34DB69" w14:textId="77777777" w:rsidR="00D4168A" w:rsidRPr="00D4168A" w:rsidRDefault="00D4168A" w:rsidP="00D4168A">
      <w:pPr>
        <w:pStyle w:val="Nadpis3"/>
      </w:pPr>
      <w:r w:rsidRPr="00D4168A">
        <w:t>Kromě předávacího protokolu vystaví Poskytovatel protokol o provedené prohlídce a měřicí protokol konkrétního zařízení Diagnostiky. Měřicí protokoly budou předány Objednateli (1x CTD a 1x příslušnému OŘ).</w:t>
      </w:r>
    </w:p>
    <w:p w14:paraId="7E3F1238" w14:textId="77777777" w:rsidR="00D4168A" w:rsidRPr="00D4168A" w:rsidRDefault="00D4168A" w:rsidP="00D4168A">
      <w:pPr>
        <w:pStyle w:val="Nadpis3"/>
      </w:pPr>
      <w:r w:rsidRPr="00D4168A">
        <w:lastRenderedPageBreak/>
        <w:t xml:space="preserve">V případě zajišťování technické podpory zařízení Diagnostiky a nadstavbového modulu ROSA-TDS bude podkladem k fakturaci odsouhlasení této podpory na předávacím protokolu potvrzeném zaměstnancem Objednatele (zaměstnanec CTD). </w:t>
      </w:r>
    </w:p>
    <w:p w14:paraId="1799C715" w14:textId="10905746" w:rsidR="00D4168A" w:rsidRPr="00D4168A" w:rsidRDefault="00D4168A" w:rsidP="00D4168A">
      <w:pPr>
        <w:pStyle w:val="Nadpis3"/>
      </w:pPr>
      <w:r w:rsidRPr="00D4168A">
        <w:t xml:space="preserve">Fakturace za uskutečněné plnění technické podpory zařízení Diagnostiky a nadstavbového modulu ROSA-TDS bude provedena vždy po skončení půlročního cyklu, a to </w:t>
      </w:r>
      <w:r w:rsidRPr="00131160">
        <w:t>ke dni 30. 06. 2024 a ke dni 31. 12. 2024</w:t>
      </w:r>
      <w:r w:rsidRPr="00D4168A">
        <w:t>. Dnem zdanitelného plnění je termín uvedený na příslušné faktuře.</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579BB8A1" w14:textId="1B92BA15" w:rsidR="002F7052" w:rsidRPr="000712BA" w:rsidRDefault="002F7052" w:rsidP="002F7052">
      <w:pPr>
        <w:pStyle w:val="Nadpis2"/>
      </w:pPr>
      <w:r w:rsidRPr="002F7052">
        <w:t xml:space="preserve">Místem plnění jsou </w:t>
      </w:r>
      <w:r w:rsidRPr="000712BA">
        <w:t xml:space="preserve">lokality dle Přílohy č. </w:t>
      </w:r>
      <w:r w:rsidR="00127A8E" w:rsidRPr="000712BA">
        <w:t>2</w:t>
      </w:r>
      <w:r w:rsidRPr="000712BA">
        <w:t xml:space="preserve"> a pracoviště Brno, Kounicova (v případě ROSA-TDS).</w:t>
      </w:r>
    </w:p>
    <w:p w14:paraId="4AE0DFE4" w14:textId="5F949779" w:rsidR="004E1498" w:rsidRDefault="00E73DA0" w:rsidP="00321172">
      <w:pPr>
        <w:pStyle w:val="Nadpis2"/>
        <w:widowControl w:val="0"/>
      </w:pPr>
      <w:r w:rsidRPr="006062F9">
        <w:t>Poskytovatel je povinen provádět</w:t>
      </w:r>
      <w:r w:rsidR="004E1498" w:rsidRPr="006062F9">
        <w:t xml:space="preserve"> </w:t>
      </w:r>
      <w:r w:rsidRPr="006062F9">
        <w:t>Předmět služeb</w:t>
      </w:r>
      <w:r w:rsidR="004E1498" w:rsidRPr="006062F9">
        <w:t xml:space="preserve"> nejpozději </w:t>
      </w:r>
      <w:r w:rsidR="004E1498" w:rsidRPr="00131160">
        <w:rPr>
          <w:b/>
          <w:bCs/>
        </w:rPr>
        <w:t xml:space="preserve">do </w:t>
      </w:r>
      <w:r w:rsidR="00127A8E" w:rsidRPr="00131160">
        <w:rPr>
          <w:b/>
          <w:bCs/>
        </w:rPr>
        <w:t>31.</w:t>
      </w:r>
      <w:r w:rsidR="001A4E69">
        <w:rPr>
          <w:b/>
          <w:bCs/>
        </w:rPr>
        <w:t>03</w:t>
      </w:r>
      <w:r w:rsidR="00127A8E" w:rsidRPr="00131160">
        <w:rPr>
          <w:b/>
          <w:bCs/>
        </w:rPr>
        <w:t>.2025</w:t>
      </w:r>
      <w:r w:rsidR="00127A8E">
        <w:t xml:space="preserve"> </w:t>
      </w:r>
      <w:r w:rsidR="006062F9" w:rsidRPr="006062F9">
        <w:t>od účinnosti této Smlouvy.</w:t>
      </w:r>
    </w:p>
    <w:p w14:paraId="211A581A" w14:textId="77777777" w:rsidR="00CA247D" w:rsidRPr="00CA247D" w:rsidRDefault="00CA247D" w:rsidP="00CA247D">
      <w:pPr>
        <w:pStyle w:val="Nadpis2"/>
      </w:pPr>
      <w:r w:rsidRPr="00CA247D">
        <w:t>Pro plynulý a rychlý průběh profylaktických prohlídek na zařízeních Diagnostiky a nadstavbovém modulu ROSA-TDS se sjednávají níže uvedené postupy s přihlédnutím k provozním požadavkům Objednatele.</w:t>
      </w:r>
    </w:p>
    <w:p w14:paraId="0AB2B3FE" w14:textId="77777777" w:rsidR="00CA247D" w:rsidRPr="00CA247D" w:rsidRDefault="00CA247D" w:rsidP="00CA247D">
      <w:pPr>
        <w:pStyle w:val="Nadpis2"/>
      </w:pPr>
      <w:r w:rsidRPr="00CA247D">
        <w:t>Poskytovatel se zavazuje, že vypracuje ve spolupráci s Objednatelem časový plán pravidelných profylaktických prohlídek pro jarní a podzimní období. Práce na zařízeních Diagnostiky budou prováděny pouze za účasti zaměstnance Objednatele (1x zaměstnanec CTD a 1x udržující zaměstnanec příslušného oblastního ředitelství (dále jen OŘ), který zajistí podmínky BOZP).</w:t>
      </w:r>
    </w:p>
    <w:p w14:paraId="04AFC2E3" w14:textId="77777777" w:rsidR="00CA247D" w:rsidRPr="00CA247D" w:rsidRDefault="00CA247D" w:rsidP="00CA247D">
      <w:pPr>
        <w:pStyle w:val="Nadpis2"/>
      </w:pPr>
      <w:r w:rsidRPr="00CA247D">
        <w:t>Objednatel zajistí vstup do objektu a všech prostor souvisejících se sjednanými činnostmi pro zástupce Poskytovatele.</w:t>
      </w:r>
    </w:p>
    <w:p w14:paraId="65D42700" w14:textId="77777777" w:rsidR="00CA247D" w:rsidRPr="00CA247D" w:rsidRDefault="00CA247D" w:rsidP="00CA247D">
      <w:pPr>
        <w:pStyle w:val="Nadpis2"/>
      </w:pPr>
      <w:r w:rsidRPr="00CA247D">
        <w:t>Objednatel vymezí prostor a čas potřebný pro vykonání profylaktické prohlídky na daném zařízení Diagnostiky a pro pravidelnou údržbu nadstavbového modulu ROSA-TDS. Nebude-li zástupci umožněn vstup do objektu vinou Objednatele, prodlouží se úměrně doba pro vykonání profylaktické prohlídky na zařízení Diagnostiky, resp. nadstavbovém modulu ROSA-TDS.</w:t>
      </w:r>
    </w:p>
    <w:p w14:paraId="298E3794" w14:textId="4770F4CB" w:rsidR="00CA247D" w:rsidRPr="00CA247D" w:rsidRDefault="00CA247D" w:rsidP="00CA247D">
      <w:pPr>
        <w:pStyle w:val="Nadpis2"/>
      </w:pPr>
      <w:r w:rsidRPr="00CA247D">
        <w:t>V rámci technické podpory zařízení Diagnostiky a nadstavbového modulu ROSA jsou stanovené lhůty pro odstranění poruchy. Tyto lhůty se vztahují k okamžiku přijetí nahlášení poruchy od Objednatele zástupcem Poskytovatele. Pokud nebude možný vzdálený přístup k zařízení Diagnostiky, resp. nadstavbovému modulu ROSA-TDS, musí být daná porucha odstraněna na místě. Lhůta pro odstranění poruchy začíná běžet okamžikem umožnění přístupu k zařízení Diagnostiky nebo nadstavbovému modulu ROSA-TDS. Stanovené lhůty k odstranění poruchy jsou uvedeny v Tabulce č. 1 a v Tabulce č. 2 této Smlouvy.</w:t>
      </w:r>
    </w:p>
    <w:tbl>
      <w:tblPr>
        <w:tblW w:w="781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3" w:type="dxa"/>
        </w:tblCellMar>
        <w:tblLook w:val="0000" w:firstRow="0" w:lastRow="0" w:firstColumn="0" w:lastColumn="0" w:noHBand="0" w:noVBand="0"/>
      </w:tblPr>
      <w:tblGrid>
        <w:gridCol w:w="3848"/>
        <w:gridCol w:w="1134"/>
        <w:gridCol w:w="1276"/>
        <w:gridCol w:w="1559"/>
      </w:tblGrid>
      <w:tr w:rsidR="00CA247D" w:rsidRPr="00CA247D" w14:paraId="34223205" w14:textId="77777777" w:rsidTr="005A270C">
        <w:trPr>
          <w:jc w:val="center"/>
        </w:trPr>
        <w:tc>
          <w:tcPr>
            <w:tcW w:w="3848" w:type="dxa"/>
            <w:shd w:val="clear" w:color="auto" w:fill="auto"/>
            <w:tcMar>
              <w:left w:w="103" w:type="dxa"/>
            </w:tcMar>
          </w:tcPr>
          <w:p w14:paraId="4FF704C7" w14:textId="77777777" w:rsidR="00CA247D" w:rsidRPr="00CA247D" w:rsidRDefault="00CA247D" w:rsidP="00CA247D">
            <w:pPr>
              <w:suppressAutoHyphens/>
              <w:snapToGrid w:val="0"/>
              <w:spacing w:after="0" w:line="240" w:lineRule="auto"/>
              <w:jc w:val="left"/>
              <w:rPr>
                <w:rFonts w:eastAsia="Times New Roman" w:cs="Times New Roman"/>
                <w:lang w:eastAsia="zh-CN"/>
              </w:rPr>
            </w:pPr>
            <w:r w:rsidRPr="00CA247D">
              <w:rPr>
                <w:rFonts w:eastAsia="Times New Roman" w:cs="Times New Roman"/>
                <w:lang w:eastAsia="zh-CN"/>
              </w:rPr>
              <w:t>Zařízení Diagnostiky</w:t>
            </w:r>
          </w:p>
        </w:tc>
        <w:tc>
          <w:tcPr>
            <w:tcW w:w="1134" w:type="dxa"/>
            <w:shd w:val="clear" w:color="auto" w:fill="auto"/>
            <w:tcMar>
              <w:left w:w="103" w:type="dxa"/>
            </w:tcMar>
          </w:tcPr>
          <w:p w14:paraId="527F223B" w14:textId="77777777" w:rsidR="00CA247D" w:rsidRPr="00CA247D" w:rsidRDefault="00CA247D" w:rsidP="00CA247D">
            <w:pPr>
              <w:suppressAutoHyphens/>
              <w:spacing w:after="0" w:line="240" w:lineRule="auto"/>
              <w:jc w:val="left"/>
              <w:rPr>
                <w:rFonts w:eastAsia="Times New Roman" w:cs="Times New Roman"/>
                <w:lang w:eastAsia="zh-CN"/>
              </w:rPr>
            </w:pPr>
            <w:r w:rsidRPr="00CA247D" w:rsidDel="001E2D74">
              <w:rPr>
                <w:rFonts w:eastAsia="Times New Roman" w:cs="Times New Roman"/>
                <w:lang w:eastAsia="zh-CN"/>
              </w:rPr>
              <w:t xml:space="preserve"> </w:t>
            </w:r>
            <w:r w:rsidRPr="00CA247D">
              <w:rPr>
                <w:rFonts w:eastAsia="Times New Roman" w:cs="Times New Roman"/>
                <w:lang w:eastAsia="zh-CN"/>
              </w:rPr>
              <w:t>IHL+IHO</w:t>
            </w:r>
          </w:p>
        </w:tc>
        <w:tc>
          <w:tcPr>
            <w:tcW w:w="1276" w:type="dxa"/>
            <w:shd w:val="clear" w:color="auto" w:fill="auto"/>
            <w:tcMar>
              <w:left w:w="103" w:type="dxa"/>
            </w:tcMar>
          </w:tcPr>
          <w:p w14:paraId="72510666" w14:textId="77777777" w:rsidR="00CA247D" w:rsidRPr="00CA247D" w:rsidRDefault="00CA247D" w:rsidP="00CA247D">
            <w:pPr>
              <w:suppressAutoHyphens/>
              <w:spacing w:after="0" w:line="240" w:lineRule="auto"/>
              <w:jc w:val="left"/>
              <w:rPr>
                <w:rFonts w:eastAsia="Times New Roman" w:cs="Times New Roman"/>
                <w:lang w:eastAsia="zh-CN"/>
              </w:rPr>
            </w:pPr>
            <w:r w:rsidRPr="00CA247D">
              <w:rPr>
                <w:rFonts w:eastAsia="Times New Roman" w:cs="Times New Roman"/>
                <w:lang w:eastAsia="zh-CN"/>
              </w:rPr>
              <w:t>INJ</w:t>
            </w:r>
          </w:p>
        </w:tc>
        <w:tc>
          <w:tcPr>
            <w:tcW w:w="1559" w:type="dxa"/>
          </w:tcPr>
          <w:p w14:paraId="296F7682" w14:textId="77777777" w:rsidR="00CA247D" w:rsidRPr="00CA247D" w:rsidDel="001E2D74" w:rsidRDefault="00CA247D" w:rsidP="00CA247D">
            <w:pPr>
              <w:suppressAutoHyphens/>
              <w:spacing w:after="0" w:line="240" w:lineRule="auto"/>
              <w:jc w:val="left"/>
              <w:rPr>
                <w:rFonts w:eastAsia="Times New Roman" w:cs="Times New Roman"/>
                <w:lang w:eastAsia="zh-CN"/>
              </w:rPr>
            </w:pPr>
            <w:r w:rsidRPr="00CA247D">
              <w:rPr>
                <w:rFonts w:eastAsia="Times New Roman" w:cs="Times New Roman"/>
                <w:lang w:eastAsia="zh-CN"/>
              </w:rPr>
              <w:t>Reakční doba</w:t>
            </w:r>
          </w:p>
        </w:tc>
      </w:tr>
      <w:tr w:rsidR="00CA247D" w:rsidRPr="00CA247D" w14:paraId="4F81CECB" w14:textId="77777777" w:rsidTr="005A270C">
        <w:trPr>
          <w:jc w:val="center"/>
        </w:trPr>
        <w:tc>
          <w:tcPr>
            <w:tcW w:w="3848" w:type="dxa"/>
            <w:shd w:val="clear" w:color="auto" w:fill="auto"/>
            <w:tcMar>
              <w:left w:w="103" w:type="dxa"/>
            </w:tcMar>
          </w:tcPr>
          <w:p w14:paraId="1EE5A6A9" w14:textId="77777777" w:rsidR="00CA247D" w:rsidRPr="00CA247D" w:rsidRDefault="00CA247D" w:rsidP="00CA247D">
            <w:pPr>
              <w:suppressAutoHyphens/>
              <w:spacing w:after="0" w:line="240" w:lineRule="auto"/>
              <w:jc w:val="left"/>
              <w:rPr>
                <w:rFonts w:eastAsia="Times New Roman" w:cs="Times New Roman"/>
                <w:lang w:eastAsia="zh-CN"/>
              </w:rPr>
            </w:pPr>
            <w:r w:rsidRPr="00CA247D">
              <w:rPr>
                <w:rFonts w:eastAsia="Times New Roman" w:cs="Times New Roman"/>
                <w:lang w:eastAsia="zh-CN"/>
              </w:rPr>
              <w:t xml:space="preserve">Doba pro odstranění poruchy </w:t>
            </w:r>
            <w:r w:rsidRPr="00CA247D">
              <w:rPr>
                <w:rFonts w:eastAsia="Times New Roman" w:cs="Times New Roman"/>
                <w:lang w:val="en-US" w:eastAsia="zh-CN"/>
              </w:rPr>
              <w:t xml:space="preserve">[h] </w:t>
            </w:r>
          </w:p>
        </w:tc>
        <w:tc>
          <w:tcPr>
            <w:tcW w:w="1134" w:type="dxa"/>
            <w:vMerge w:val="restart"/>
            <w:shd w:val="clear" w:color="auto" w:fill="auto"/>
            <w:vAlign w:val="bottom"/>
          </w:tcPr>
          <w:p w14:paraId="6B3767C0" w14:textId="77777777" w:rsidR="00CA247D" w:rsidRPr="00CA247D" w:rsidRDefault="00CA247D" w:rsidP="00CA247D">
            <w:pPr>
              <w:suppressAutoHyphens/>
              <w:spacing w:after="0" w:line="240" w:lineRule="auto"/>
              <w:jc w:val="left"/>
              <w:rPr>
                <w:rFonts w:eastAsia="Times New Roman" w:cs="Times New Roman"/>
                <w:lang w:eastAsia="zh-CN"/>
              </w:rPr>
            </w:pPr>
            <w:r w:rsidRPr="00CA247D">
              <w:rPr>
                <w:rFonts w:eastAsia="Times New Roman" w:cs="Times New Roman"/>
                <w:lang w:eastAsia="zh-CN"/>
              </w:rPr>
              <w:t>12</w:t>
            </w:r>
          </w:p>
        </w:tc>
        <w:tc>
          <w:tcPr>
            <w:tcW w:w="1276" w:type="dxa"/>
            <w:vMerge w:val="restart"/>
            <w:shd w:val="clear" w:color="auto" w:fill="auto"/>
            <w:vAlign w:val="bottom"/>
          </w:tcPr>
          <w:p w14:paraId="47942018" w14:textId="77777777" w:rsidR="00CA247D" w:rsidRPr="00CA247D" w:rsidRDefault="00CA247D" w:rsidP="00CA247D">
            <w:pPr>
              <w:keepNext/>
              <w:suppressAutoHyphens/>
              <w:spacing w:after="0" w:line="240" w:lineRule="auto"/>
              <w:jc w:val="left"/>
              <w:rPr>
                <w:rFonts w:eastAsia="Times New Roman" w:cs="Times New Roman"/>
                <w:lang w:eastAsia="zh-CN"/>
              </w:rPr>
            </w:pPr>
            <w:r w:rsidRPr="00CA247D">
              <w:rPr>
                <w:rFonts w:eastAsia="Times New Roman" w:cs="Times New Roman"/>
                <w:lang w:eastAsia="zh-CN"/>
              </w:rPr>
              <w:t>12</w:t>
            </w:r>
          </w:p>
        </w:tc>
        <w:tc>
          <w:tcPr>
            <w:tcW w:w="1559" w:type="dxa"/>
            <w:vMerge w:val="restart"/>
            <w:vAlign w:val="bottom"/>
          </w:tcPr>
          <w:p w14:paraId="18A00F90" w14:textId="77777777" w:rsidR="00CA247D" w:rsidRPr="00CA247D" w:rsidRDefault="00CA247D" w:rsidP="00CA247D">
            <w:pPr>
              <w:keepNext/>
              <w:suppressAutoHyphens/>
              <w:spacing w:after="0" w:line="240" w:lineRule="auto"/>
              <w:jc w:val="left"/>
              <w:rPr>
                <w:rFonts w:eastAsia="Times New Roman" w:cs="Times New Roman"/>
                <w:lang w:eastAsia="zh-CN"/>
              </w:rPr>
            </w:pPr>
            <w:r w:rsidRPr="00CA247D">
              <w:rPr>
                <w:rFonts w:eastAsia="Times New Roman" w:cs="Times New Roman"/>
                <w:lang w:eastAsia="zh-CN"/>
              </w:rPr>
              <w:t>1</w:t>
            </w:r>
          </w:p>
        </w:tc>
      </w:tr>
      <w:tr w:rsidR="00CA247D" w:rsidRPr="00CA247D" w14:paraId="7F960207" w14:textId="77777777" w:rsidTr="005A270C">
        <w:trPr>
          <w:jc w:val="center"/>
        </w:trPr>
        <w:tc>
          <w:tcPr>
            <w:tcW w:w="3848" w:type="dxa"/>
            <w:shd w:val="clear" w:color="auto" w:fill="auto"/>
            <w:tcMar>
              <w:left w:w="103" w:type="dxa"/>
            </w:tcMar>
          </w:tcPr>
          <w:p w14:paraId="41E72686" w14:textId="77777777" w:rsidR="00CA247D" w:rsidRPr="00CA247D" w:rsidRDefault="00CA247D" w:rsidP="0055230B">
            <w:pPr>
              <w:numPr>
                <w:ilvl w:val="0"/>
                <w:numId w:val="10"/>
              </w:numPr>
              <w:suppressAutoHyphens/>
              <w:spacing w:before="0" w:after="0" w:line="240" w:lineRule="auto"/>
              <w:jc w:val="left"/>
              <w:rPr>
                <w:rFonts w:eastAsia="Times New Roman" w:cs="Times New Roman"/>
                <w:lang w:eastAsia="zh-CN"/>
              </w:rPr>
            </w:pPr>
            <w:r w:rsidRPr="00CA247D">
              <w:rPr>
                <w:rFonts w:eastAsia="Times New Roman" w:cs="Times New Roman"/>
                <w:lang w:eastAsia="zh-CN"/>
              </w:rPr>
              <w:t>vzdálený přístup</w:t>
            </w:r>
          </w:p>
        </w:tc>
        <w:tc>
          <w:tcPr>
            <w:tcW w:w="1134" w:type="dxa"/>
            <w:vMerge/>
            <w:shd w:val="clear" w:color="auto" w:fill="auto"/>
            <w:tcMar>
              <w:left w:w="103" w:type="dxa"/>
            </w:tcMar>
          </w:tcPr>
          <w:p w14:paraId="5BBDC848" w14:textId="77777777" w:rsidR="00CA247D" w:rsidRPr="00CA247D" w:rsidRDefault="00CA247D" w:rsidP="00CA247D">
            <w:pPr>
              <w:suppressAutoHyphens/>
              <w:spacing w:after="0" w:line="240" w:lineRule="auto"/>
              <w:jc w:val="left"/>
              <w:rPr>
                <w:rFonts w:eastAsia="Times New Roman" w:cs="Times New Roman"/>
                <w:lang w:eastAsia="zh-CN"/>
              </w:rPr>
            </w:pPr>
          </w:p>
        </w:tc>
        <w:tc>
          <w:tcPr>
            <w:tcW w:w="1276" w:type="dxa"/>
            <w:vMerge/>
            <w:shd w:val="clear" w:color="auto" w:fill="auto"/>
            <w:tcMar>
              <w:left w:w="103" w:type="dxa"/>
            </w:tcMar>
          </w:tcPr>
          <w:p w14:paraId="1AB957B0" w14:textId="77777777" w:rsidR="00CA247D" w:rsidRPr="00CA247D" w:rsidRDefault="00CA247D" w:rsidP="00CA247D">
            <w:pPr>
              <w:keepNext/>
              <w:suppressAutoHyphens/>
              <w:spacing w:after="0" w:line="240" w:lineRule="auto"/>
              <w:jc w:val="left"/>
              <w:rPr>
                <w:rFonts w:eastAsia="Times New Roman" w:cs="Times New Roman"/>
                <w:lang w:eastAsia="zh-CN"/>
              </w:rPr>
            </w:pPr>
          </w:p>
        </w:tc>
        <w:tc>
          <w:tcPr>
            <w:tcW w:w="1559" w:type="dxa"/>
            <w:vMerge/>
          </w:tcPr>
          <w:p w14:paraId="5365B322" w14:textId="77777777" w:rsidR="00CA247D" w:rsidRPr="00CA247D" w:rsidRDefault="00CA247D" w:rsidP="00CA247D">
            <w:pPr>
              <w:keepNext/>
              <w:suppressAutoHyphens/>
              <w:spacing w:after="0" w:line="240" w:lineRule="auto"/>
              <w:jc w:val="left"/>
              <w:rPr>
                <w:rFonts w:eastAsia="Times New Roman" w:cs="Times New Roman"/>
                <w:lang w:eastAsia="zh-CN"/>
              </w:rPr>
            </w:pPr>
          </w:p>
        </w:tc>
      </w:tr>
      <w:tr w:rsidR="00CA247D" w:rsidRPr="00CA247D" w14:paraId="4DAA3A12" w14:textId="77777777" w:rsidTr="005A270C">
        <w:trPr>
          <w:jc w:val="center"/>
        </w:trPr>
        <w:tc>
          <w:tcPr>
            <w:tcW w:w="3848" w:type="dxa"/>
            <w:shd w:val="clear" w:color="auto" w:fill="auto"/>
            <w:tcMar>
              <w:left w:w="103" w:type="dxa"/>
            </w:tcMar>
          </w:tcPr>
          <w:p w14:paraId="38D8CF37" w14:textId="77777777" w:rsidR="00CA247D" w:rsidRPr="00CA247D" w:rsidRDefault="00CA247D" w:rsidP="0055230B">
            <w:pPr>
              <w:numPr>
                <w:ilvl w:val="0"/>
                <w:numId w:val="10"/>
              </w:numPr>
              <w:suppressAutoHyphens/>
              <w:spacing w:before="0" w:after="0" w:line="240" w:lineRule="auto"/>
              <w:jc w:val="left"/>
              <w:rPr>
                <w:rFonts w:eastAsia="Times New Roman" w:cs="Times New Roman"/>
                <w:lang w:eastAsia="zh-CN"/>
              </w:rPr>
            </w:pPr>
            <w:r w:rsidRPr="00CA247D">
              <w:rPr>
                <w:rFonts w:eastAsia="Times New Roman" w:cs="Times New Roman"/>
                <w:lang w:eastAsia="zh-CN"/>
              </w:rPr>
              <w:t xml:space="preserve">místní přístup </w:t>
            </w:r>
          </w:p>
        </w:tc>
        <w:tc>
          <w:tcPr>
            <w:tcW w:w="1134" w:type="dxa"/>
            <w:shd w:val="clear" w:color="auto" w:fill="auto"/>
            <w:tcMar>
              <w:left w:w="103" w:type="dxa"/>
            </w:tcMar>
          </w:tcPr>
          <w:p w14:paraId="70923071" w14:textId="77777777" w:rsidR="00CA247D" w:rsidRPr="00CA247D" w:rsidRDefault="00CA247D" w:rsidP="00CA247D">
            <w:pPr>
              <w:suppressAutoHyphens/>
              <w:spacing w:after="0" w:line="240" w:lineRule="auto"/>
              <w:jc w:val="left"/>
              <w:rPr>
                <w:rFonts w:eastAsia="Times New Roman" w:cs="Times New Roman"/>
                <w:lang w:eastAsia="zh-CN"/>
              </w:rPr>
            </w:pPr>
            <w:r w:rsidRPr="00CA247D">
              <w:rPr>
                <w:rFonts w:eastAsia="Times New Roman" w:cs="Times New Roman"/>
                <w:lang w:eastAsia="zh-CN"/>
              </w:rPr>
              <w:t>96</w:t>
            </w:r>
          </w:p>
        </w:tc>
        <w:tc>
          <w:tcPr>
            <w:tcW w:w="1276" w:type="dxa"/>
            <w:shd w:val="clear" w:color="auto" w:fill="auto"/>
            <w:tcMar>
              <w:left w:w="103" w:type="dxa"/>
            </w:tcMar>
          </w:tcPr>
          <w:p w14:paraId="3359597C" w14:textId="77777777" w:rsidR="00CA247D" w:rsidRPr="00CA247D" w:rsidRDefault="00CA247D" w:rsidP="00CA247D">
            <w:pPr>
              <w:keepNext/>
              <w:suppressAutoHyphens/>
              <w:spacing w:after="0" w:line="240" w:lineRule="auto"/>
              <w:jc w:val="left"/>
              <w:rPr>
                <w:rFonts w:eastAsia="Times New Roman" w:cs="Times New Roman"/>
                <w:lang w:eastAsia="zh-CN"/>
              </w:rPr>
            </w:pPr>
            <w:r w:rsidRPr="00CA247D">
              <w:rPr>
                <w:rFonts w:eastAsia="Times New Roman" w:cs="Times New Roman"/>
                <w:lang w:eastAsia="zh-CN"/>
              </w:rPr>
              <w:t>168</w:t>
            </w:r>
          </w:p>
        </w:tc>
        <w:tc>
          <w:tcPr>
            <w:tcW w:w="1559" w:type="dxa"/>
          </w:tcPr>
          <w:p w14:paraId="05CABC66" w14:textId="77777777" w:rsidR="00CA247D" w:rsidRPr="00CA247D" w:rsidRDefault="00CA247D" w:rsidP="00CA247D">
            <w:pPr>
              <w:keepNext/>
              <w:suppressAutoHyphens/>
              <w:spacing w:after="0" w:line="240" w:lineRule="auto"/>
              <w:jc w:val="left"/>
              <w:rPr>
                <w:rFonts w:eastAsia="Times New Roman" w:cs="Times New Roman"/>
                <w:lang w:eastAsia="zh-CN"/>
              </w:rPr>
            </w:pPr>
            <w:r w:rsidRPr="00CA247D">
              <w:rPr>
                <w:rFonts w:eastAsia="Times New Roman" w:cs="Times New Roman"/>
                <w:lang w:eastAsia="zh-CN"/>
              </w:rPr>
              <w:t>1</w:t>
            </w:r>
          </w:p>
        </w:tc>
      </w:tr>
    </w:tbl>
    <w:p w14:paraId="1682940A" w14:textId="77777777" w:rsidR="00CA247D" w:rsidRPr="00CA247D" w:rsidRDefault="00CA247D" w:rsidP="00CA247D">
      <w:pPr>
        <w:spacing w:after="240" w:line="240" w:lineRule="auto"/>
        <w:jc w:val="left"/>
        <w:rPr>
          <w:iCs/>
          <w:color w:val="44546A" w:themeColor="text2"/>
        </w:rPr>
      </w:pPr>
      <w:r w:rsidRPr="00CA247D">
        <w:rPr>
          <w:iCs/>
          <w:color w:val="44546A" w:themeColor="text2"/>
        </w:rPr>
        <w:t xml:space="preserve">        Tabulka č. </w:t>
      </w:r>
      <w:r w:rsidRPr="00CA247D">
        <w:rPr>
          <w:iCs/>
          <w:color w:val="44546A" w:themeColor="text2"/>
        </w:rPr>
        <w:fldChar w:fldCharType="begin"/>
      </w:r>
      <w:r w:rsidRPr="00CA247D">
        <w:rPr>
          <w:iCs/>
          <w:color w:val="44546A" w:themeColor="text2"/>
        </w:rPr>
        <w:instrText xml:space="preserve"> SEQ Tabulka_č. \* ARABIC </w:instrText>
      </w:r>
      <w:r w:rsidRPr="00CA247D">
        <w:rPr>
          <w:iCs/>
          <w:color w:val="44546A" w:themeColor="text2"/>
        </w:rPr>
        <w:fldChar w:fldCharType="separate"/>
      </w:r>
      <w:r w:rsidRPr="00CA247D">
        <w:rPr>
          <w:iCs/>
          <w:noProof/>
          <w:color w:val="44546A" w:themeColor="text2"/>
        </w:rPr>
        <w:t>1</w:t>
      </w:r>
      <w:r w:rsidRPr="00CA247D">
        <w:rPr>
          <w:iCs/>
          <w:noProof/>
          <w:color w:val="44546A" w:themeColor="text2"/>
        </w:rPr>
        <w:fldChar w:fldCharType="end"/>
      </w:r>
      <w:r w:rsidRPr="00CA247D">
        <w:rPr>
          <w:iCs/>
          <w:color w:val="44546A" w:themeColor="text2"/>
        </w:rPr>
        <w:tab/>
        <w:t>Stanovené lhůty pro odstranění poruchy na zařízení Diagnostiky</w:t>
      </w:r>
    </w:p>
    <w:tbl>
      <w:tblPr>
        <w:tblW w:w="778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3" w:type="dxa"/>
        </w:tblCellMar>
        <w:tblLook w:val="0000" w:firstRow="0" w:lastRow="0" w:firstColumn="0" w:lastColumn="0" w:noHBand="0" w:noVBand="0"/>
      </w:tblPr>
      <w:tblGrid>
        <w:gridCol w:w="3133"/>
        <w:gridCol w:w="2973"/>
        <w:gridCol w:w="1681"/>
      </w:tblGrid>
      <w:tr w:rsidR="00CA247D" w:rsidRPr="00CA247D" w14:paraId="109C89F9" w14:textId="77777777" w:rsidTr="005A270C">
        <w:trPr>
          <w:jc w:val="center"/>
        </w:trPr>
        <w:tc>
          <w:tcPr>
            <w:tcW w:w="3133" w:type="dxa"/>
            <w:shd w:val="clear" w:color="auto" w:fill="auto"/>
            <w:tcMar>
              <w:left w:w="103" w:type="dxa"/>
            </w:tcMar>
          </w:tcPr>
          <w:p w14:paraId="2A7612C2" w14:textId="77777777" w:rsidR="00CA247D" w:rsidRPr="00CA247D" w:rsidRDefault="00CA247D" w:rsidP="00CA247D">
            <w:pPr>
              <w:suppressAutoHyphens/>
              <w:snapToGrid w:val="0"/>
              <w:spacing w:after="0" w:line="240" w:lineRule="auto"/>
              <w:jc w:val="left"/>
              <w:rPr>
                <w:rFonts w:eastAsia="Times New Roman" w:cs="Times New Roman"/>
                <w:lang w:eastAsia="zh-CN"/>
              </w:rPr>
            </w:pPr>
            <w:r w:rsidRPr="00CA247D">
              <w:rPr>
                <w:rFonts w:eastAsia="Times New Roman" w:cs="Times New Roman"/>
                <w:lang w:eastAsia="zh-CN"/>
              </w:rPr>
              <w:t>Nadstavbový modul ROSA-TDS</w:t>
            </w:r>
          </w:p>
        </w:tc>
        <w:tc>
          <w:tcPr>
            <w:tcW w:w="2973" w:type="dxa"/>
            <w:shd w:val="clear" w:color="auto" w:fill="auto"/>
            <w:tcMar>
              <w:left w:w="103" w:type="dxa"/>
            </w:tcMar>
          </w:tcPr>
          <w:p w14:paraId="0EBA6F20" w14:textId="77777777" w:rsidR="00CA247D" w:rsidRPr="00CA247D" w:rsidRDefault="00CA247D" w:rsidP="00CA247D">
            <w:pPr>
              <w:suppressAutoHyphens/>
              <w:spacing w:after="0" w:line="240" w:lineRule="auto"/>
              <w:jc w:val="left"/>
              <w:rPr>
                <w:rFonts w:eastAsia="Times New Roman" w:cs="Times New Roman"/>
                <w:lang w:eastAsia="zh-CN"/>
              </w:rPr>
            </w:pPr>
            <w:r w:rsidRPr="00CA247D">
              <w:rPr>
                <w:rFonts w:eastAsia="Times New Roman" w:cs="Times New Roman"/>
                <w:lang w:eastAsia="zh-CN"/>
              </w:rPr>
              <w:t xml:space="preserve">Doba pro odstranění poruchy </w:t>
            </w:r>
            <w:r w:rsidRPr="00CA247D">
              <w:rPr>
                <w:rFonts w:eastAsia="Times New Roman" w:cs="Times New Roman"/>
                <w:lang w:val="en-US" w:eastAsia="zh-CN"/>
              </w:rPr>
              <w:t>[h]</w:t>
            </w:r>
          </w:p>
        </w:tc>
        <w:tc>
          <w:tcPr>
            <w:tcW w:w="1681" w:type="dxa"/>
          </w:tcPr>
          <w:p w14:paraId="2145DF84" w14:textId="77777777" w:rsidR="00CA247D" w:rsidRPr="00CA247D" w:rsidRDefault="00CA247D" w:rsidP="00CA247D">
            <w:pPr>
              <w:suppressAutoHyphens/>
              <w:spacing w:after="0" w:line="240" w:lineRule="auto"/>
              <w:jc w:val="left"/>
              <w:rPr>
                <w:rFonts w:eastAsia="Times New Roman" w:cs="Times New Roman"/>
                <w:lang w:eastAsia="zh-CN"/>
              </w:rPr>
            </w:pPr>
            <w:r w:rsidRPr="00CA247D">
              <w:rPr>
                <w:rFonts w:eastAsia="Times New Roman" w:cs="Times New Roman"/>
                <w:lang w:eastAsia="zh-CN"/>
              </w:rPr>
              <w:t>Reakční doba</w:t>
            </w:r>
          </w:p>
        </w:tc>
      </w:tr>
      <w:tr w:rsidR="00CA247D" w:rsidRPr="00CA247D" w14:paraId="78775753" w14:textId="77777777" w:rsidTr="005A270C">
        <w:trPr>
          <w:jc w:val="center"/>
        </w:trPr>
        <w:tc>
          <w:tcPr>
            <w:tcW w:w="3133" w:type="dxa"/>
            <w:shd w:val="clear" w:color="auto" w:fill="auto"/>
            <w:tcMar>
              <w:left w:w="103" w:type="dxa"/>
            </w:tcMar>
          </w:tcPr>
          <w:p w14:paraId="6065BFB7" w14:textId="77777777" w:rsidR="00CA247D" w:rsidRPr="00CA247D" w:rsidRDefault="00CA247D" w:rsidP="0055230B">
            <w:pPr>
              <w:numPr>
                <w:ilvl w:val="0"/>
                <w:numId w:val="10"/>
              </w:numPr>
              <w:suppressAutoHyphens/>
              <w:spacing w:before="0" w:after="0" w:line="240" w:lineRule="auto"/>
              <w:jc w:val="left"/>
              <w:rPr>
                <w:rFonts w:eastAsia="Times New Roman" w:cs="Times New Roman"/>
                <w:lang w:eastAsia="zh-CN"/>
              </w:rPr>
            </w:pPr>
            <w:r w:rsidRPr="00CA247D">
              <w:rPr>
                <w:rFonts w:eastAsia="Times New Roman" w:cs="Times New Roman"/>
                <w:lang w:eastAsia="zh-CN"/>
              </w:rPr>
              <w:t>vzdálený přístup</w:t>
            </w:r>
          </w:p>
        </w:tc>
        <w:tc>
          <w:tcPr>
            <w:tcW w:w="2973" w:type="dxa"/>
            <w:shd w:val="clear" w:color="auto" w:fill="auto"/>
            <w:tcMar>
              <w:left w:w="103" w:type="dxa"/>
            </w:tcMar>
          </w:tcPr>
          <w:p w14:paraId="3A78BA67" w14:textId="77777777" w:rsidR="00CA247D" w:rsidRPr="00CA247D" w:rsidRDefault="00CA247D" w:rsidP="00CA247D">
            <w:pPr>
              <w:keepNext/>
              <w:suppressAutoHyphens/>
              <w:spacing w:after="0" w:line="240" w:lineRule="auto"/>
              <w:jc w:val="left"/>
              <w:rPr>
                <w:rFonts w:eastAsia="Times New Roman" w:cs="Times New Roman"/>
                <w:lang w:eastAsia="zh-CN"/>
              </w:rPr>
            </w:pPr>
            <w:r w:rsidRPr="00CA247D">
              <w:rPr>
                <w:rFonts w:eastAsia="Times New Roman" w:cs="Times New Roman"/>
                <w:lang w:eastAsia="zh-CN"/>
              </w:rPr>
              <w:t>není definována</w:t>
            </w:r>
          </w:p>
        </w:tc>
        <w:tc>
          <w:tcPr>
            <w:tcW w:w="1681" w:type="dxa"/>
          </w:tcPr>
          <w:p w14:paraId="4493E2FA" w14:textId="77777777" w:rsidR="00CA247D" w:rsidRPr="00CA247D" w:rsidRDefault="00CA247D" w:rsidP="00CA247D">
            <w:pPr>
              <w:keepNext/>
              <w:suppressAutoHyphens/>
              <w:spacing w:after="0" w:line="240" w:lineRule="auto"/>
              <w:jc w:val="left"/>
              <w:rPr>
                <w:rFonts w:eastAsia="Times New Roman" w:cs="Times New Roman"/>
                <w:lang w:eastAsia="zh-CN"/>
              </w:rPr>
            </w:pPr>
            <w:r w:rsidRPr="00CA247D">
              <w:rPr>
                <w:rFonts w:eastAsia="Times New Roman" w:cs="Times New Roman"/>
                <w:lang w:eastAsia="zh-CN"/>
              </w:rPr>
              <w:t>1</w:t>
            </w:r>
          </w:p>
        </w:tc>
      </w:tr>
      <w:tr w:rsidR="00CA247D" w:rsidRPr="00CA247D" w14:paraId="59435478" w14:textId="77777777" w:rsidTr="005A270C">
        <w:trPr>
          <w:jc w:val="center"/>
        </w:trPr>
        <w:tc>
          <w:tcPr>
            <w:tcW w:w="3133" w:type="dxa"/>
            <w:shd w:val="clear" w:color="auto" w:fill="auto"/>
            <w:tcMar>
              <w:left w:w="103" w:type="dxa"/>
            </w:tcMar>
          </w:tcPr>
          <w:p w14:paraId="155E086F" w14:textId="77777777" w:rsidR="00CA247D" w:rsidRPr="00CA247D" w:rsidRDefault="00CA247D" w:rsidP="0055230B">
            <w:pPr>
              <w:numPr>
                <w:ilvl w:val="0"/>
                <w:numId w:val="10"/>
              </w:numPr>
              <w:suppressAutoHyphens/>
              <w:spacing w:before="0" w:after="0" w:line="240" w:lineRule="auto"/>
              <w:jc w:val="left"/>
              <w:rPr>
                <w:rFonts w:eastAsia="Times New Roman" w:cs="Times New Roman"/>
                <w:lang w:eastAsia="zh-CN"/>
              </w:rPr>
            </w:pPr>
            <w:r w:rsidRPr="00CA247D">
              <w:rPr>
                <w:rFonts w:eastAsia="Times New Roman" w:cs="Times New Roman"/>
                <w:lang w:eastAsia="zh-CN"/>
              </w:rPr>
              <w:t xml:space="preserve">místní přístup </w:t>
            </w:r>
          </w:p>
        </w:tc>
        <w:tc>
          <w:tcPr>
            <w:tcW w:w="2973" w:type="dxa"/>
            <w:shd w:val="clear" w:color="auto" w:fill="auto"/>
            <w:tcMar>
              <w:left w:w="103" w:type="dxa"/>
            </w:tcMar>
          </w:tcPr>
          <w:p w14:paraId="537658C6" w14:textId="77777777" w:rsidR="00CA247D" w:rsidRPr="00CA247D" w:rsidRDefault="00CA247D" w:rsidP="00CA247D">
            <w:pPr>
              <w:keepNext/>
              <w:suppressAutoHyphens/>
              <w:spacing w:after="0" w:line="240" w:lineRule="auto"/>
              <w:jc w:val="left"/>
              <w:rPr>
                <w:rFonts w:eastAsia="Times New Roman" w:cs="Times New Roman"/>
                <w:lang w:eastAsia="zh-CN"/>
              </w:rPr>
            </w:pPr>
            <w:r w:rsidRPr="00CA247D">
              <w:rPr>
                <w:rFonts w:eastAsia="Times New Roman" w:cs="Times New Roman"/>
                <w:lang w:eastAsia="zh-CN"/>
              </w:rPr>
              <w:t>168</w:t>
            </w:r>
          </w:p>
        </w:tc>
        <w:tc>
          <w:tcPr>
            <w:tcW w:w="1681" w:type="dxa"/>
          </w:tcPr>
          <w:p w14:paraId="7E388495" w14:textId="77777777" w:rsidR="00CA247D" w:rsidRPr="00CA247D" w:rsidRDefault="00CA247D" w:rsidP="00CA247D">
            <w:pPr>
              <w:keepNext/>
              <w:suppressAutoHyphens/>
              <w:spacing w:after="0" w:line="240" w:lineRule="auto"/>
              <w:jc w:val="left"/>
              <w:rPr>
                <w:rFonts w:eastAsia="Times New Roman" w:cs="Times New Roman"/>
                <w:lang w:eastAsia="zh-CN"/>
              </w:rPr>
            </w:pPr>
            <w:r w:rsidRPr="00CA247D">
              <w:rPr>
                <w:rFonts w:eastAsia="Times New Roman" w:cs="Times New Roman"/>
                <w:lang w:eastAsia="zh-CN"/>
              </w:rPr>
              <w:t>není definována</w:t>
            </w:r>
          </w:p>
        </w:tc>
      </w:tr>
    </w:tbl>
    <w:p w14:paraId="070C61AE" w14:textId="77777777" w:rsidR="00CA247D" w:rsidRPr="00CA247D" w:rsidRDefault="00CA247D" w:rsidP="00CA247D">
      <w:pPr>
        <w:spacing w:after="200" w:line="240" w:lineRule="auto"/>
        <w:ind w:firstLine="709"/>
        <w:jc w:val="left"/>
        <w:rPr>
          <w:iCs/>
          <w:color w:val="44546A" w:themeColor="text2"/>
        </w:rPr>
      </w:pPr>
      <w:r w:rsidRPr="00CA247D">
        <w:rPr>
          <w:iCs/>
          <w:color w:val="44546A" w:themeColor="text2"/>
        </w:rPr>
        <w:t xml:space="preserve">Tabulka č. </w:t>
      </w:r>
      <w:r w:rsidRPr="00CA247D">
        <w:rPr>
          <w:iCs/>
          <w:color w:val="44546A" w:themeColor="text2"/>
        </w:rPr>
        <w:fldChar w:fldCharType="begin"/>
      </w:r>
      <w:r w:rsidRPr="00CA247D">
        <w:rPr>
          <w:iCs/>
          <w:color w:val="44546A" w:themeColor="text2"/>
        </w:rPr>
        <w:instrText xml:space="preserve"> SEQ Tabulka_č. \* ARABIC </w:instrText>
      </w:r>
      <w:r w:rsidRPr="00CA247D">
        <w:rPr>
          <w:iCs/>
          <w:color w:val="44546A" w:themeColor="text2"/>
        </w:rPr>
        <w:fldChar w:fldCharType="separate"/>
      </w:r>
      <w:r w:rsidRPr="00CA247D">
        <w:rPr>
          <w:iCs/>
          <w:noProof/>
          <w:color w:val="44546A" w:themeColor="text2"/>
        </w:rPr>
        <w:t>2</w:t>
      </w:r>
      <w:r w:rsidRPr="00CA247D">
        <w:rPr>
          <w:iCs/>
          <w:noProof/>
          <w:color w:val="44546A" w:themeColor="text2"/>
        </w:rPr>
        <w:fldChar w:fldCharType="end"/>
      </w:r>
      <w:r w:rsidRPr="00CA247D">
        <w:rPr>
          <w:iCs/>
          <w:color w:val="44546A" w:themeColor="text2"/>
        </w:rPr>
        <w:tab/>
        <w:t>Stanovené lhůty pro odstranění poruchy na ROSA-TDS</w:t>
      </w:r>
    </w:p>
    <w:p w14:paraId="7B1022BF" w14:textId="40668E51" w:rsidR="00CA247D" w:rsidRDefault="00CA247D" w:rsidP="00CA247D">
      <w:pPr>
        <w:pStyle w:val="Nadpis2"/>
      </w:pPr>
      <w:r>
        <w:t>U stanovených lhůt pro odstranění závad se předpokládá, že pro opravy budou využity náhradní díly, které jsou k dispozici na servisním skladu dle smlouvy „</w:t>
      </w:r>
      <w:r w:rsidR="00131160" w:rsidRPr="00131160">
        <w:t xml:space="preserve">Zajištění </w:t>
      </w:r>
      <w:r w:rsidR="00131160" w:rsidRPr="00131160">
        <w:lastRenderedPageBreak/>
        <w:t xml:space="preserve">technického servisu, podpory a profylaxe systému diagnostiky závad jedoucích železničních vozidel </w:t>
      </w:r>
      <w:r w:rsidRPr="000712BA">
        <w:t xml:space="preserve">– část B“, Přílohy č. </w:t>
      </w:r>
      <w:r w:rsidR="000712BA" w:rsidRPr="000712BA">
        <w:t>3</w:t>
      </w:r>
      <w:r w:rsidRPr="000712BA">
        <w:t>, tabulka č. 1 a tabulka č. 2.</w:t>
      </w:r>
      <w:r>
        <w:t xml:space="preserve"> Pokud tyto díly skladem nejsou (např. z důvodu předchozí nedávné opravy), bude na základě dohody obou smluvních stran stanoven jiný termín odstranění závady.</w:t>
      </w:r>
    </w:p>
    <w:p w14:paraId="3511FD1D" w14:textId="2A64F092" w:rsidR="00CA247D" w:rsidRDefault="00CA247D" w:rsidP="00CA247D">
      <w:pPr>
        <w:pStyle w:val="Nadpis2"/>
      </w:pPr>
      <w:r>
        <w:t>V případě, kdy se nebude jednat o poruchu znemožňující činnost zařízení Diagnostiky, ale pouze o dílčí omezení její funkce, bude dohodnut postup pro odstranění poruchy podle konkrétní situace s Objednatelem. Tento postup musí být Objednatelem odsouhlasen.</w:t>
      </w:r>
    </w:p>
    <w:p w14:paraId="0E28019A" w14:textId="329AC4DB" w:rsidR="00CA247D" w:rsidRDefault="00CA247D" w:rsidP="00CA247D">
      <w:pPr>
        <w:pStyle w:val="Nadpis2"/>
      </w:pPr>
      <w:r>
        <w:t>Termín pro odstranění poruchy může být po vzájemné dohodě obou smluvních stran změněn.</w:t>
      </w:r>
    </w:p>
    <w:p w14:paraId="2FD23009" w14:textId="0A08DB41" w:rsidR="00CA247D" w:rsidRDefault="00CA247D" w:rsidP="00CA247D">
      <w:pPr>
        <w:pStyle w:val="Nadpis2"/>
      </w:pPr>
      <w:r>
        <w:t>V případě, že porucha na zařízení Diagnostiky nebude odstraněna v rámci stanovené lhůty, bude Poskytovatel o této situaci informovat pověřeného zaměstnance Objednatele (udržujícího zaměstnance příslušného OŘ a rovněž zaměstnance CTD) a uvede předpokládaný termín dokončení servisního zásahu. V případě, že porucha na nadstavbovém modulu ROSA-TDS nebude odstraněna v rámci stanovené lhůty, bude Poskytovatel o této situaci informovat pověřeného zaměstnance Objednatele (zaměstnance CTD).  Ve spolupráci se servisním pracovníkem provede zaměstnanec Objednatele zápis do Záznamníku poruch na sdělovacím a zabezpečovacím zařízení, který je uložen u daného zařízení Diagnostiky, resp. u nadstavbového modulu ROSA-TDS.</w:t>
      </w:r>
    </w:p>
    <w:p w14:paraId="2D89A0DD" w14:textId="12BA95A6" w:rsidR="00CA247D" w:rsidRDefault="00CA247D" w:rsidP="00CA247D">
      <w:pPr>
        <w:pStyle w:val="Nadpis2"/>
      </w:pPr>
      <w:r>
        <w:t>Sankce za nedodržení stanovené lhůty odstranění poruchy od okamžiku přijetí jejího nahlášení a umožnění přístupu je stanovena na 500 Kč/den bez DPH.</w:t>
      </w:r>
    </w:p>
    <w:p w14:paraId="13ECFEBA" w14:textId="6EDBE182" w:rsidR="00CA247D" w:rsidRDefault="00CA247D" w:rsidP="00CA247D">
      <w:pPr>
        <w:pStyle w:val="Nadpis2"/>
      </w:pPr>
      <w:r>
        <w:t>Poskytovatel je povinen při provádění prací dodržovat veškeré platné normy a předpisy v průběhu celého plnění předmětu Smlouvy.</w:t>
      </w:r>
    </w:p>
    <w:p w14:paraId="05F4E124" w14:textId="5589B635" w:rsidR="00CA247D" w:rsidRDefault="00CA247D" w:rsidP="00CA247D">
      <w:pPr>
        <w:pStyle w:val="Nadpis2"/>
      </w:pPr>
      <w:r>
        <w:t>Poskytovatel je povinen dodržovat veškeré zásady bezpečnosti a ochrany zdraví při práci v průběhu celého plnění předmětu Smlouvy.</w:t>
      </w:r>
    </w:p>
    <w:p w14:paraId="186A1FFA" w14:textId="229AA788" w:rsidR="00CA247D" w:rsidRPr="00CA247D" w:rsidRDefault="00CA247D" w:rsidP="00CA247D">
      <w:pPr>
        <w:pStyle w:val="Nadpis2"/>
      </w:pPr>
      <w:r>
        <w:t>Poskytovatel je zodpovědný za dodržování vnitřních pokynů a směrnic Objednavatele stanovujících technické podmínky a bezpečnostní předpisy při sjednané činnosti.</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625F2603" w:rsidR="00B66E16" w:rsidRPr="000712BA" w:rsidRDefault="00B66E16" w:rsidP="00321172">
      <w:pPr>
        <w:pStyle w:val="Nadpis2"/>
        <w:widowControl w:val="0"/>
        <w:rPr>
          <w:highlight w:val="green"/>
        </w:rPr>
      </w:pPr>
      <w:r w:rsidRPr="000712BA">
        <w:rPr>
          <w:highlight w:val="green"/>
        </w:rPr>
        <w:t xml:space="preserve">Na provedení </w:t>
      </w:r>
      <w:r w:rsidR="004E7B39" w:rsidRPr="000712BA">
        <w:rPr>
          <w:highlight w:val="green"/>
        </w:rPr>
        <w:t xml:space="preserve">předmětu služeb </w:t>
      </w:r>
      <w:r w:rsidRPr="000712BA">
        <w:rPr>
          <w:highlight w:val="green"/>
        </w:rPr>
        <w:t>se budou podílet poddodavatelé uvedení v příloze č</w:t>
      </w:r>
      <w:r w:rsidR="00985507" w:rsidRPr="000712BA">
        <w:rPr>
          <w:highlight w:val="green"/>
        </w:rPr>
        <w:t xml:space="preserve">. </w:t>
      </w:r>
      <w:r w:rsidR="000712BA" w:rsidRPr="000712BA">
        <w:rPr>
          <w:highlight w:val="green"/>
        </w:rPr>
        <w:t>5</w:t>
      </w:r>
      <w:r w:rsidRPr="000712BA">
        <w:rPr>
          <w:highlight w:val="green"/>
        </w:rPr>
        <w:t xml:space="preserve"> této Smlouvy. </w:t>
      </w:r>
    </w:p>
    <w:p w14:paraId="0B49AA5D" w14:textId="1135F34A" w:rsidR="00B66E16" w:rsidRDefault="00B66E16" w:rsidP="00297F9D">
      <w:pPr>
        <w:widowControl w:val="0"/>
        <w:spacing w:after="0" w:line="240" w:lineRule="auto"/>
        <w:ind w:left="709"/>
        <w:contextualSpacing/>
        <w:rPr>
          <w:rFonts w:eastAsia="Times New Roman" w:cs="Times New Roman"/>
          <w:lang w:eastAsia="cs-CZ"/>
        </w:rPr>
      </w:pPr>
      <w:r w:rsidRPr="00297F9D">
        <w:rPr>
          <w:rFonts w:eastAsia="Times New Roman" w:cs="Times New Roman"/>
          <w:highlight w:val="green"/>
          <w:lang w:eastAsia="cs-CZ"/>
        </w:rPr>
        <w:t xml:space="preserve">(jestliže se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nebudou podílet poddodavatelé, dodavatel do bodu </w:t>
      </w:r>
      <w:r w:rsidR="00B34A8A" w:rsidRPr="00297F9D">
        <w:rPr>
          <w:rFonts w:eastAsia="Times New Roman" w:cs="Times New Roman"/>
          <w:highlight w:val="green"/>
          <w:lang w:eastAsia="cs-CZ"/>
        </w:rPr>
        <w:t>5</w:t>
      </w:r>
      <w:r w:rsidRPr="00297F9D">
        <w:rPr>
          <w:rFonts w:eastAsia="Times New Roman" w:cs="Times New Roman"/>
          <w:highlight w:val="green"/>
          <w:lang w:eastAsia="cs-CZ"/>
        </w:rPr>
        <w:t xml:space="preserve">.1 napíše: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se nebudou podílet poddodavatelé a vymaže tuto položku ze seznamu příloh).</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0BADA79D" w:rsidR="004E1498" w:rsidRPr="008B24C9" w:rsidRDefault="004E1498" w:rsidP="00321172">
      <w:pPr>
        <w:pStyle w:val="Nadpis2"/>
        <w:widowControl w:val="0"/>
      </w:pPr>
      <w:r w:rsidRPr="008B24C9">
        <w:t>Kontaktními osob</w:t>
      </w:r>
      <w:r w:rsidR="000712BA">
        <w:t xml:space="preserve">y </w:t>
      </w:r>
      <w:r w:rsidRPr="008B24C9">
        <w:t>smluvních stran jsou</w:t>
      </w:r>
      <w:r w:rsidR="000712BA">
        <w:t xml:space="preserve"> uvedeny v příloze č. 4 této Smlouvy.</w:t>
      </w:r>
    </w:p>
    <w:p w14:paraId="739753B3" w14:textId="2482A84A" w:rsidR="004E1498" w:rsidRPr="006062F9" w:rsidRDefault="004E1498" w:rsidP="00321172">
      <w:pPr>
        <w:pStyle w:val="Nadpis2"/>
        <w:widowControl w:val="0"/>
      </w:pP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 xml:space="preserve">vy, nepovažují za obchodní tajemství ve smyslu ustanovení § 504 Občanského zákoníku (dále jen </w:t>
      </w:r>
      <w:r w:rsidRPr="006062F9">
        <w:rPr>
          <w:rFonts w:eastAsia="Calibri"/>
        </w:rPr>
        <w:lastRenderedPageBreak/>
        <w:t>„</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55230B">
      <w:pPr>
        <w:pStyle w:val="odstaveca"/>
        <w:numPr>
          <w:ilvl w:val="0"/>
          <w:numId w:val="8"/>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346CDE12"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w:t>
      </w:r>
      <w:r w:rsidRPr="003B16F0">
        <w:lastRenderedPageBreak/>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2DA447CA"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F90B03">
        <w:t>8</w:t>
      </w:r>
      <w:r>
        <w:t xml:space="preserve">.1 a </w:t>
      </w:r>
      <w:r w:rsidR="00F90B03">
        <w:t>8</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2"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2"/>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3"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F90B03">
        <w:t>5</w:t>
      </w:r>
      <w:r w:rsidR="00C916C5" w:rsidRPr="00F90B03">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557B709E" w:rsidR="00604869" w:rsidRDefault="00604869" w:rsidP="00297F9D">
      <w:pPr>
        <w:pStyle w:val="Nadpis2"/>
      </w:pPr>
      <w:r>
        <w:t xml:space="preserve">Správa železnic, státní organizace, má výše uvedené dokumenty k dispozici na webových stránkách: </w:t>
      </w:r>
      <w:hyperlink r:id="rId13" w:history="1">
        <w:r w:rsidRPr="00604869">
          <w:rPr>
            <w:rStyle w:val="Hypertextovodkaz"/>
          </w:rPr>
          <w:t>https://www.spravazeleznic.cz/o-nas/nazadouci-jednani-a-boj-s-korupci</w:t>
        </w:r>
      </w:hyperlink>
      <w:r>
        <w:t>.</w:t>
      </w:r>
    </w:p>
    <w:p w14:paraId="38E21927" w14:textId="1CE495C8"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1E3789">
        <w:rPr>
          <w:highlight w:val="green"/>
        </w:rPr>
        <w:t>10</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lastRenderedPageBreak/>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7777777" w:rsidR="00B66E16" w:rsidRPr="00F90B03" w:rsidRDefault="00B66E16" w:rsidP="00321172">
      <w:pPr>
        <w:pStyle w:val="Nadpis2"/>
        <w:widowControl w:val="0"/>
      </w:pPr>
      <w:r w:rsidRPr="00F90B03">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321172" w:rsidRDefault="007F328C" w:rsidP="00297F9D">
      <w:pPr>
        <w:pStyle w:val="Plohy"/>
      </w:pPr>
      <w:r w:rsidRPr="00321172">
        <w:t xml:space="preserve">Obchodní podmínky ke Smlouvě o poskytování služeb </w:t>
      </w:r>
    </w:p>
    <w:p w14:paraId="6C78EE69" w14:textId="77777777" w:rsidR="002D7108" w:rsidRPr="002D7108" w:rsidRDefault="002D7108" w:rsidP="002D7108">
      <w:pPr>
        <w:pStyle w:val="Plohy"/>
      </w:pPr>
      <w:r w:rsidRPr="002D7108">
        <w:t>Profylaktické prohlídky zařízení Diagnostiky</w:t>
      </w:r>
    </w:p>
    <w:p w14:paraId="0FC10F9C" w14:textId="1F63D482" w:rsidR="00B66E16" w:rsidRDefault="002D7108" w:rsidP="002D7108">
      <w:pPr>
        <w:pStyle w:val="Plohy"/>
      </w:pPr>
      <w:r w:rsidRPr="002D7108">
        <w:t>Technická podpora zařízení Diagnostiky</w:t>
      </w:r>
    </w:p>
    <w:p w14:paraId="44DEED09" w14:textId="33250A70" w:rsidR="0090717A" w:rsidRPr="0017079A" w:rsidRDefault="0090717A" w:rsidP="002D7108">
      <w:pPr>
        <w:pStyle w:val="Plohy"/>
        <w:rPr>
          <w:highlight w:val="green"/>
        </w:rPr>
      </w:pPr>
      <w:r w:rsidRPr="0017079A">
        <w:rPr>
          <w:highlight w:val="green"/>
        </w:rPr>
        <w:t>Seznam kontaktních osob</w:t>
      </w:r>
      <w:r w:rsidR="000511AF">
        <w:rPr>
          <w:highlight w:val="green"/>
        </w:rPr>
        <w:t xml:space="preserve"> – doplní Poskytovatel</w:t>
      </w:r>
    </w:p>
    <w:p w14:paraId="7C809827" w14:textId="2B32627D" w:rsidR="00B66E16" w:rsidRPr="00297F9D" w:rsidRDefault="00B66E16" w:rsidP="00297F9D">
      <w:pPr>
        <w:pStyle w:val="Plohy"/>
        <w:rPr>
          <w:highlight w:val="green"/>
        </w:rPr>
      </w:pPr>
      <w:r w:rsidRPr="00297F9D">
        <w:rPr>
          <w:highlight w:val="green"/>
        </w:rPr>
        <w:t xml:space="preserve">Seznam poddodavatelů – doplní </w:t>
      </w:r>
      <w:r w:rsidR="004E7B39" w:rsidRPr="00297F9D">
        <w:rPr>
          <w:highlight w:val="green"/>
        </w:rPr>
        <w:t>Poskytovatel</w:t>
      </w:r>
    </w:p>
    <w:p w14:paraId="564F9CF7" w14:textId="5BA2BA1A" w:rsidR="00B66E16" w:rsidRPr="00297F9D" w:rsidRDefault="00B66E16" w:rsidP="00131160">
      <w:pPr>
        <w:pStyle w:val="Plohy"/>
        <w:numPr>
          <w:ilvl w:val="0"/>
          <w:numId w:val="0"/>
        </w:numPr>
        <w:rPr>
          <w:highlight w:val="green"/>
        </w:rPr>
      </w:pPr>
    </w:p>
    <w:p w14:paraId="731B7242" w14:textId="1CE0D5CD" w:rsidR="00D45DE0" w:rsidRDefault="00D45DE0" w:rsidP="00297F9D">
      <w:pPr>
        <w:pStyle w:val="Zaobjednateleposkytovatele"/>
      </w:pPr>
      <w:r>
        <w:t>Za Objednatele:</w:t>
      </w:r>
      <w:r>
        <w:tab/>
      </w:r>
      <w:r>
        <w:tab/>
      </w:r>
      <w:r>
        <w:tab/>
      </w:r>
      <w:r>
        <w:tab/>
      </w:r>
      <w:r>
        <w:tab/>
        <w:t>Za Poskytovatele:</w:t>
      </w:r>
    </w:p>
    <w:p w14:paraId="600CC85A" w14:textId="77777777" w:rsidR="00D45DE0" w:rsidRDefault="00D45DE0" w:rsidP="00297F9D">
      <w:pPr>
        <w:pStyle w:val="Podpisovoprnn"/>
      </w:pPr>
      <w:r>
        <w:t>……………………………………………………</w:t>
      </w:r>
      <w:r>
        <w:tab/>
      </w:r>
      <w:r>
        <w:tab/>
      </w:r>
      <w:r>
        <w:tab/>
        <w:t>…………………………………………………</w:t>
      </w:r>
      <w:r>
        <w:tab/>
      </w:r>
      <w:r>
        <w:tab/>
      </w:r>
    </w:p>
    <w:p w14:paraId="4A2D27D6" w14:textId="6EA54F00" w:rsidR="002A463B" w:rsidRPr="008009D8" w:rsidRDefault="002A463B" w:rsidP="002A463B">
      <w:pPr>
        <w:pStyle w:val="acnormalbold"/>
        <w:spacing w:before="0" w:after="0"/>
        <w:rPr>
          <w:rFonts w:cstheme="minorHAnsi"/>
          <w:sz w:val="18"/>
          <w:szCs w:val="18"/>
        </w:rPr>
      </w:pPr>
      <w:bookmarkStart w:id="4" w:name="_Hlk152588869"/>
      <w:r w:rsidRPr="008009D8">
        <w:rPr>
          <w:rFonts w:cstheme="minorHAnsi"/>
          <w:sz w:val="18"/>
          <w:szCs w:val="18"/>
        </w:rPr>
        <w:t>Ing. Martin Táborský</w:t>
      </w:r>
      <w:r w:rsidRPr="008009D8">
        <w:rPr>
          <w:rFonts w:cstheme="minorHAnsi"/>
          <w:sz w:val="18"/>
          <w:szCs w:val="18"/>
        </w:rPr>
        <w:tab/>
      </w:r>
      <w:r w:rsidRPr="008009D8">
        <w:rPr>
          <w:rFonts w:cstheme="minorHAnsi"/>
          <w:sz w:val="18"/>
          <w:szCs w:val="18"/>
        </w:rPr>
        <w:tab/>
      </w:r>
      <w:r w:rsidRPr="008009D8">
        <w:rPr>
          <w:rFonts w:cstheme="minorHAnsi"/>
          <w:sz w:val="18"/>
          <w:szCs w:val="18"/>
        </w:rPr>
        <w:tab/>
        <w:t xml:space="preserve">    </w:t>
      </w:r>
      <w:r w:rsidRPr="008009D8">
        <w:rPr>
          <w:rFonts w:cstheme="minorHAnsi"/>
          <w:sz w:val="18"/>
          <w:szCs w:val="18"/>
        </w:rPr>
        <w:tab/>
      </w:r>
      <w:r w:rsidRPr="008009D8">
        <w:rPr>
          <w:rFonts w:cstheme="minorHAnsi"/>
          <w:sz w:val="18"/>
          <w:szCs w:val="18"/>
        </w:rPr>
        <w:tab/>
      </w:r>
      <w:r w:rsidRPr="008009D8">
        <w:rPr>
          <w:sz w:val="18"/>
          <w:szCs w:val="18"/>
          <w:highlight w:val="green"/>
        </w:rPr>
        <w:t xml:space="preserve">[DOPLNÍ </w:t>
      </w:r>
      <w:r>
        <w:rPr>
          <w:sz w:val="18"/>
          <w:szCs w:val="18"/>
          <w:highlight w:val="green"/>
        </w:rPr>
        <w:t>POSKYTOVATEL</w:t>
      </w:r>
      <w:r w:rsidRPr="008009D8">
        <w:rPr>
          <w:sz w:val="18"/>
          <w:szCs w:val="18"/>
          <w:highlight w:val="green"/>
        </w:rPr>
        <w:t>]</w:t>
      </w:r>
    </w:p>
    <w:p w14:paraId="415E1981" w14:textId="77777777" w:rsidR="002A463B" w:rsidRPr="008009D8" w:rsidRDefault="002A463B" w:rsidP="002A463B">
      <w:pPr>
        <w:spacing w:before="0" w:after="0" w:line="276" w:lineRule="auto"/>
        <w:rPr>
          <w:rFonts w:cstheme="minorHAnsi"/>
          <w:b/>
        </w:rPr>
      </w:pPr>
      <w:bookmarkStart w:id="5" w:name="_Hlk152580677"/>
      <w:r w:rsidRPr="008009D8">
        <w:rPr>
          <w:rFonts w:cstheme="minorHAnsi"/>
          <w:b/>
        </w:rPr>
        <w:t>ředitel Centra techniky a diagnostiky</w:t>
      </w:r>
      <w:bookmarkEnd w:id="5"/>
      <w:r w:rsidRPr="008009D8">
        <w:rPr>
          <w:rFonts w:cstheme="minorHAnsi"/>
          <w:b/>
        </w:rPr>
        <w:tab/>
      </w:r>
      <w:r w:rsidRPr="008009D8">
        <w:rPr>
          <w:rFonts w:cstheme="minorHAnsi"/>
          <w:b/>
        </w:rPr>
        <w:tab/>
      </w:r>
      <w:r w:rsidRPr="008009D8">
        <w:rPr>
          <w:rFonts w:cstheme="minorHAnsi"/>
          <w:b/>
          <w:highlight w:val="green"/>
        </w:rPr>
        <w:t>………………………………..</w:t>
      </w:r>
    </w:p>
    <w:p w14:paraId="631E6955" w14:textId="52053EC2" w:rsidR="00D45DE0" w:rsidRPr="00D45DE0" w:rsidRDefault="002A463B" w:rsidP="002A463B">
      <w:pPr>
        <w:overflowPunct w:val="0"/>
        <w:autoSpaceDE w:val="0"/>
        <w:autoSpaceDN w:val="0"/>
        <w:adjustRightInd w:val="0"/>
        <w:spacing w:before="0" w:after="0" w:line="240" w:lineRule="auto"/>
        <w:textAlignment w:val="baseline"/>
        <w:rPr>
          <w:rFonts w:eastAsia="Times New Roman" w:cs="Times New Roman"/>
          <w:highlight w:val="yellow"/>
          <w:lang w:eastAsia="cs-CZ"/>
        </w:rPr>
      </w:pPr>
      <w:bookmarkStart w:id="6" w:name="_Hlk152580690"/>
      <w:r w:rsidRPr="008009D8">
        <w:rPr>
          <w:rFonts w:cstheme="minorHAnsi"/>
        </w:rPr>
        <w:t xml:space="preserve">Správa železnic, státní organizace         </w:t>
      </w:r>
      <w:bookmarkEnd w:id="6"/>
      <w:r w:rsidRPr="008009D8">
        <w:rPr>
          <w:rFonts w:cstheme="minorHAnsi"/>
        </w:rPr>
        <w:tab/>
      </w:r>
      <w:r w:rsidRPr="008009D8">
        <w:rPr>
          <w:rFonts w:cstheme="minorHAnsi"/>
        </w:rPr>
        <w:tab/>
      </w:r>
      <w:r w:rsidRPr="008009D8">
        <w:rPr>
          <w:rFonts w:cstheme="minorHAnsi"/>
          <w:highlight w:val="green"/>
        </w:rPr>
        <w:t>…………………………………………</w:t>
      </w:r>
      <w:bookmarkEnd w:id="4"/>
    </w:p>
    <w:sectPr w:rsidR="00D45DE0" w:rsidRPr="00D45DE0"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DD74A6"/>
    <w:multiLevelType w:val="hybridMultilevel"/>
    <w:tmpl w:val="1262BC86"/>
    <w:lvl w:ilvl="0" w:tplc="477CD2A8">
      <w:numFmt w:val="bullet"/>
      <w:lvlText w:val="-"/>
      <w:lvlJc w:val="left"/>
      <w:pPr>
        <w:ind w:left="1040" w:hanging="360"/>
      </w:pPr>
      <w:rPr>
        <w:rFonts w:ascii="Verdana" w:eastAsia="Times New Roman" w:hAnsi="Verdana" w:cs="Times New Roman"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C7E29AB"/>
    <w:multiLevelType w:val="hybridMultilevel"/>
    <w:tmpl w:val="4318554E"/>
    <w:lvl w:ilvl="0" w:tplc="A5CABC4C">
      <w:start w:val="5"/>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6"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num w:numId="1" w16cid:durableId="675615396">
    <w:abstractNumId w:val="2"/>
  </w:num>
  <w:num w:numId="2" w16cid:durableId="1150252849">
    <w:abstractNumId w:val="0"/>
  </w:num>
  <w:num w:numId="3" w16cid:durableId="2039311785">
    <w:abstractNumId w:val="4"/>
  </w:num>
  <w:num w:numId="4" w16cid:durableId="708922451">
    <w:abstractNumId w:val="8"/>
  </w:num>
  <w:num w:numId="5" w16cid:durableId="249238562">
    <w:abstractNumId w:val="7"/>
  </w:num>
  <w:num w:numId="6" w16cid:durableId="1186023498">
    <w:abstractNumId w:val="6"/>
  </w:num>
  <w:num w:numId="7" w16cid:durableId="456684379">
    <w:abstractNumId w:val="1"/>
  </w:num>
  <w:num w:numId="8" w16cid:durableId="18724505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02086500">
    <w:abstractNumId w:val="3"/>
  </w:num>
  <w:num w:numId="10" w16cid:durableId="1587180782">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LockTheme/>
  <w:styleLockQFSet/>
  <w:defaultTabStop w:val="709"/>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757F"/>
    <w:rsid w:val="00040B7E"/>
    <w:rsid w:val="00042631"/>
    <w:rsid w:val="000511AF"/>
    <w:rsid w:val="00055850"/>
    <w:rsid w:val="000712BA"/>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247A4"/>
    <w:rsid w:val="00127A8E"/>
    <w:rsid w:val="00131160"/>
    <w:rsid w:val="0013379C"/>
    <w:rsid w:val="001369A0"/>
    <w:rsid w:val="00141C9A"/>
    <w:rsid w:val="001550BC"/>
    <w:rsid w:val="001605B9"/>
    <w:rsid w:val="0017079A"/>
    <w:rsid w:val="00170EC5"/>
    <w:rsid w:val="001747C1"/>
    <w:rsid w:val="00184743"/>
    <w:rsid w:val="001A27EA"/>
    <w:rsid w:val="001A4E69"/>
    <w:rsid w:val="001E3789"/>
    <w:rsid w:val="001F32C9"/>
    <w:rsid w:val="001F7617"/>
    <w:rsid w:val="00207DF5"/>
    <w:rsid w:val="00280E07"/>
    <w:rsid w:val="00297F9D"/>
    <w:rsid w:val="002A463B"/>
    <w:rsid w:val="002A6874"/>
    <w:rsid w:val="002C31BF"/>
    <w:rsid w:val="002D08B1"/>
    <w:rsid w:val="002D7108"/>
    <w:rsid w:val="002E0CD7"/>
    <w:rsid w:val="002F28A1"/>
    <w:rsid w:val="002F7052"/>
    <w:rsid w:val="003013FA"/>
    <w:rsid w:val="003071BD"/>
    <w:rsid w:val="00321172"/>
    <w:rsid w:val="00341DCF"/>
    <w:rsid w:val="003452CE"/>
    <w:rsid w:val="003557CB"/>
    <w:rsid w:val="00357BC6"/>
    <w:rsid w:val="00364455"/>
    <w:rsid w:val="003956C6"/>
    <w:rsid w:val="003A4D59"/>
    <w:rsid w:val="003B39EC"/>
    <w:rsid w:val="003D12BD"/>
    <w:rsid w:val="003D703A"/>
    <w:rsid w:val="003E082D"/>
    <w:rsid w:val="003F20D8"/>
    <w:rsid w:val="00432EAF"/>
    <w:rsid w:val="00441430"/>
    <w:rsid w:val="00450F07"/>
    <w:rsid w:val="00453CD3"/>
    <w:rsid w:val="00460660"/>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7421"/>
    <w:rsid w:val="00537B7A"/>
    <w:rsid w:val="0055230B"/>
    <w:rsid w:val="00553375"/>
    <w:rsid w:val="005736B7"/>
    <w:rsid w:val="00575E5A"/>
    <w:rsid w:val="00586CF5"/>
    <w:rsid w:val="00592757"/>
    <w:rsid w:val="00597E84"/>
    <w:rsid w:val="005B76DD"/>
    <w:rsid w:val="005D5624"/>
    <w:rsid w:val="005E7A24"/>
    <w:rsid w:val="005F1404"/>
    <w:rsid w:val="00604869"/>
    <w:rsid w:val="0060520C"/>
    <w:rsid w:val="006062F9"/>
    <w:rsid w:val="0061068E"/>
    <w:rsid w:val="006203C3"/>
    <w:rsid w:val="0063745A"/>
    <w:rsid w:val="0063788C"/>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46E1"/>
    <w:rsid w:val="007A0C04"/>
    <w:rsid w:val="007A27FA"/>
    <w:rsid w:val="007B570C"/>
    <w:rsid w:val="007C589B"/>
    <w:rsid w:val="007E4A6E"/>
    <w:rsid w:val="007F328C"/>
    <w:rsid w:val="007F3CD3"/>
    <w:rsid w:val="007F56A7"/>
    <w:rsid w:val="00807DD0"/>
    <w:rsid w:val="00810E9B"/>
    <w:rsid w:val="008124E5"/>
    <w:rsid w:val="00814328"/>
    <w:rsid w:val="00821F81"/>
    <w:rsid w:val="00854789"/>
    <w:rsid w:val="0086114C"/>
    <w:rsid w:val="00865518"/>
    <w:rsid w:val="008659F3"/>
    <w:rsid w:val="008819E9"/>
    <w:rsid w:val="00886D4B"/>
    <w:rsid w:val="00895406"/>
    <w:rsid w:val="008A3568"/>
    <w:rsid w:val="008B24C9"/>
    <w:rsid w:val="008D03B9"/>
    <w:rsid w:val="008D5BFE"/>
    <w:rsid w:val="008E1E86"/>
    <w:rsid w:val="008F18D6"/>
    <w:rsid w:val="008F3BC6"/>
    <w:rsid w:val="008F7DFE"/>
    <w:rsid w:val="00904780"/>
    <w:rsid w:val="0090717A"/>
    <w:rsid w:val="00907746"/>
    <w:rsid w:val="00922385"/>
    <w:rsid w:val="009223DF"/>
    <w:rsid w:val="00936091"/>
    <w:rsid w:val="00940D8A"/>
    <w:rsid w:val="00950C1F"/>
    <w:rsid w:val="00962258"/>
    <w:rsid w:val="009678B7"/>
    <w:rsid w:val="009833E1"/>
    <w:rsid w:val="00985507"/>
    <w:rsid w:val="00992D9C"/>
    <w:rsid w:val="00996CB8"/>
    <w:rsid w:val="009A0078"/>
    <w:rsid w:val="009A396A"/>
    <w:rsid w:val="009B14A9"/>
    <w:rsid w:val="009B2E97"/>
    <w:rsid w:val="009C651E"/>
    <w:rsid w:val="009D3556"/>
    <w:rsid w:val="009E07F4"/>
    <w:rsid w:val="009F392E"/>
    <w:rsid w:val="00A02EE7"/>
    <w:rsid w:val="00A07644"/>
    <w:rsid w:val="00A44435"/>
    <w:rsid w:val="00A52B36"/>
    <w:rsid w:val="00A6177B"/>
    <w:rsid w:val="00A63FD5"/>
    <w:rsid w:val="00A66136"/>
    <w:rsid w:val="00A6738F"/>
    <w:rsid w:val="00AA4CBB"/>
    <w:rsid w:val="00AA65FA"/>
    <w:rsid w:val="00AA7351"/>
    <w:rsid w:val="00AB53C9"/>
    <w:rsid w:val="00AB6759"/>
    <w:rsid w:val="00AD056F"/>
    <w:rsid w:val="00AD6731"/>
    <w:rsid w:val="00AE3460"/>
    <w:rsid w:val="00AE74AE"/>
    <w:rsid w:val="00B15D0D"/>
    <w:rsid w:val="00B34A8A"/>
    <w:rsid w:val="00B354A6"/>
    <w:rsid w:val="00B66E16"/>
    <w:rsid w:val="00B75EE1"/>
    <w:rsid w:val="00B77481"/>
    <w:rsid w:val="00B8518B"/>
    <w:rsid w:val="00BB184D"/>
    <w:rsid w:val="00BB202D"/>
    <w:rsid w:val="00BC3B69"/>
    <w:rsid w:val="00BD7E91"/>
    <w:rsid w:val="00BF5E64"/>
    <w:rsid w:val="00C02D0A"/>
    <w:rsid w:val="00C03A6E"/>
    <w:rsid w:val="00C12CB0"/>
    <w:rsid w:val="00C25494"/>
    <w:rsid w:val="00C31C15"/>
    <w:rsid w:val="00C4177B"/>
    <w:rsid w:val="00C44F6A"/>
    <w:rsid w:val="00C46EB4"/>
    <w:rsid w:val="00C47AE3"/>
    <w:rsid w:val="00C916C5"/>
    <w:rsid w:val="00CA247D"/>
    <w:rsid w:val="00CD1FC4"/>
    <w:rsid w:val="00CE287A"/>
    <w:rsid w:val="00CF484D"/>
    <w:rsid w:val="00D07EFE"/>
    <w:rsid w:val="00D21061"/>
    <w:rsid w:val="00D4108E"/>
    <w:rsid w:val="00D4168A"/>
    <w:rsid w:val="00D45DE0"/>
    <w:rsid w:val="00D6163D"/>
    <w:rsid w:val="00D61CD5"/>
    <w:rsid w:val="00D831A3"/>
    <w:rsid w:val="00D85C5B"/>
    <w:rsid w:val="00DB03B5"/>
    <w:rsid w:val="00DB295F"/>
    <w:rsid w:val="00DC75F3"/>
    <w:rsid w:val="00DD46F3"/>
    <w:rsid w:val="00DE04E2"/>
    <w:rsid w:val="00DE56F2"/>
    <w:rsid w:val="00DF116D"/>
    <w:rsid w:val="00DF12E7"/>
    <w:rsid w:val="00E174B0"/>
    <w:rsid w:val="00E2730E"/>
    <w:rsid w:val="00E64568"/>
    <w:rsid w:val="00E73DA0"/>
    <w:rsid w:val="00EA345D"/>
    <w:rsid w:val="00EB104F"/>
    <w:rsid w:val="00EB240F"/>
    <w:rsid w:val="00ED14BD"/>
    <w:rsid w:val="00EF1804"/>
    <w:rsid w:val="00EF66C8"/>
    <w:rsid w:val="00F0533E"/>
    <w:rsid w:val="00F076A0"/>
    <w:rsid w:val="00F1048D"/>
    <w:rsid w:val="00F12DEC"/>
    <w:rsid w:val="00F1715C"/>
    <w:rsid w:val="00F310F8"/>
    <w:rsid w:val="00F35939"/>
    <w:rsid w:val="00F45607"/>
    <w:rsid w:val="00F659EB"/>
    <w:rsid w:val="00F664E5"/>
    <w:rsid w:val="00F81B99"/>
    <w:rsid w:val="00F86BA6"/>
    <w:rsid w:val="00F90B03"/>
    <w:rsid w:val="00F969C4"/>
    <w:rsid w:val="00FC6389"/>
    <w:rsid w:val="00FC6C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7"/>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acnormalbold">
    <w:name w:val="ac_normal_bold"/>
    <w:basedOn w:val="Normln"/>
    <w:next w:val="Normln"/>
    <w:link w:val="acnormalboldChar"/>
    <w:qFormat/>
    <w:rsid w:val="002A463B"/>
    <w:rPr>
      <w:rFonts w:ascii="Verdana" w:eastAsia="Calibri" w:hAnsi="Verdana" w:cs="Times New Roman"/>
      <w:b/>
      <w:sz w:val="16"/>
      <w:szCs w:val="22"/>
    </w:rPr>
  </w:style>
  <w:style w:type="character" w:customStyle="1" w:styleId="acnormalboldChar">
    <w:name w:val="ac_normal_bold Char"/>
    <w:basedOn w:val="Standardnpsmoodstavce"/>
    <w:link w:val="acnormalbold"/>
    <w:rsid w:val="002A463B"/>
    <w:rPr>
      <w:rFonts w:ascii="Verdana" w:eastAsia="Calibri" w:hAnsi="Verdana" w:cs="Times New Roman"/>
      <w:b/>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TD@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687FF-1D00-40AE-973D-482343E35C4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3.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538</TotalTime>
  <Pages>7</Pages>
  <Words>3162</Words>
  <Characters>18660</Characters>
  <Application>Microsoft Office Word</Application>
  <DocSecurity>0</DocSecurity>
  <Lines>155</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Jaroslav Váňa</cp:lastModifiedBy>
  <cp:revision>49</cp:revision>
  <cp:lastPrinted>2017-11-28T17:18:00Z</cp:lastPrinted>
  <dcterms:created xsi:type="dcterms:W3CDTF">2022-05-02T12:43:00Z</dcterms:created>
  <dcterms:modified xsi:type="dcterms:W3CDTF">2024-03-22T10:57:00Z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